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79AE" w14:textId="0CE1F214" w:rsidR="00F83C28" w:rsidRPr="00F83C28" w:rsidRDefault="00954A53" w:rsidP="00F83C28">
      <w:pPr>
        <w:pStyle w:val="Rubrik2"/>
        <w:jc w:val="center"/>
        <w:rPr>
          <w:rFonts w:ascii="Times New Roman" w:hAnsi="Times New Roman"/>
          <w:sz w:val="32"/>
          <w:szCs w:val="32"/>
        </w:rPr>
      </w:pPr>
      <w:r w:rsidRPr="00F83C28">
        <w:rPr>
          <w:rFonts w:ascii="Times New Roman" w:hAnsi="Times New Roman"/>
          <w:sz w:val="32"/>
          <w:szCs w:val="32"/>
        </w:rPr>
        <w:t>Isolering av inköpta gyltor fram till grisning</w:t>
      </w:r>
      <w:r w:rsidR="00F83C28">
        <w:rPr>
          <w:rFonts w:ascii="Times New Roman" w:hAnsi="Times New Roman"/>
          <w:sz w:val="32"/>
          <w:szCs w:val="32"/>
        </w:rPr>
        <w:t>.</w:t>
      </w:r>
    </w:p>
    <w:p w14:paraId="2A445916" w14:textId="40346CDE" w:rsidR="00954A53" w:rsidRPr="00F83C28" w:rsidRDefault="00F83C28" w:rsidP="00F83C28">
      <w:pPr>
        <w:pStyle w:val="Rubrik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</w:t>
      </w:r>
      <w:r w:rsidR="00954A53" w:rsidRPr="00F83C28">
        <w:rPr>
          <w:rFonts w:ascii="Times New Roman" w:hAnsi="Times New Roman"/>
          <w:sz w:val="32"/>
          <w:szCs w:val="32"/>
        </w:rPr>
        <w:t>åverkar det förekomsten av pleuriter</w:t>
      </w:r>
      <w:r w:rsidRPr="00F83C28">
        <w:rPr>
          <w:rFonts w:ascii="Times New Roman" w:hAnsi="Times New Roman"/>
          <w:sz w:val="32"/>
          <w:szCs w:val="32"/>
        </w:rPr>
        <w:t xml:space="preserve"> vid slakt</w:t>
      </w:r>
      <w:r w:rsidR="00954A53" w:rsidRPr="00F83C28">
        <w:rPr>
          <w:rFonts w:ascii="Times New Roman" w:hAnsi="Times New Roman"/>
          <w:sz w:val="32"/>
          <w:szCs w:val="32"/>
        </w:rPr>
        <w:t>?</w:t>
      </w:r>
    </w:p>
    <w:p w14:paraId="0DD62307" w14:textId="1B1A6CBF" w:rsidR="009E22CF" w:rsidRPr="00D22125" w:rsidRDefault="009E22CF" w:rsidP="00F83C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AA75D" w14:textId="7C837BAA" w:rsidR="00954A53" w:rsidRPr="00D22125" w:rsidRDefault="00954A53" w:rsidP="00F83C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9155B" w14:textId="77777777" w:rsidR="00F83C28" w:rsidRDefault="00954A53" w:rsidP="00F8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>Carl-Johan Ehlorsson</w:t>
      </w:r>
      <w:r w:rsidR="00F83C28" w:rsidRPr="00F83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2125">
        <w:rPr>
          <w:rFonts w:ascii="Times New Roman" w:hAnsi="Times New Roman" w:cs="Times New Roman"/>
          <w:sz w:val="24"/>
          <w:szCs w:val="24"/>
        </w:rPr>
        <w:t>, Jenny Bengtsson</w:t>
      </w:r>
      <w:r w:rsidR="00F83C28" w:rsidRPr="00F83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3C28">
        <w:rPr>
          <w:rFonts w:ascii="Times New Roman" w:hAnsi="Times New Roman" w:cs="Times New Roman"/>
          <w:sz w:val="24"/>
          <w:szCs w:val="24"/>
        </w:rPr>
        <w:t xml:space="preserve">, </w:t>
      </w:r>
      <w:r w:rsidRPr="00D22125">
        <w:rPr>
          <w:rFonts w:ascii="Times New Roman" w:hAnsi="Times New Roman" w:cs="Times New Roman"/>
          <w:sz w:val="24"/>
          <w:szCs w:val="24"/>
        </w:rPr>
        <w:t>Rebecka Westi</w:t>
      </w:r>
      <w:r w:rsidR="00F83C28">
        <w:rPr>
          <w:rFonts w:ascii="Times New Roman" w:hAnsi="Times New Roman" w:cs="Times New Roman"/>
          <w:sz w:val="24"/>
          <w:szCs w:val="24"/>
        </w:rPr>
        <w:t>n</w:t>
      </w:r>
      <w:r w:rsidR="00F83C28" w:rsidRPr="00F83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83C28">
        <w:rPr>
          <w:rFonts w:ascii="Times New Roman" w:hAnsi="Times New Roman" w:cs="Times New Roman"/>
          <w:sz w:val="24"/>
          <w:szCs w:val="24"/>
        </w:rPr>
        <w:t>, Marie Sjölund</w:t>
      </w:r>
      <w:r w:rsidR="00F83C28" w:rsidRPr="00F83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C28">
        <w:rPr>
          <w:rFonts w:ascii="Times New Roman" w:hAnsi="Times New Roman" w:cs="Times New Roman"/>
          <w:sz w:val="24"/>
          <w:szCs w:val="24"/>
        </w:rPr>
        <w:t xml:space="preserve"> &amp; Per Wallgren</w:t>
      </w:r>
      <w:r w:rsidR="00F83C28" w:rsidRPr="00F83C2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D6C243" w14:textId="63C57971" w:rsidR="00954A53" w:rsidRPr="00D22125" w:rsidRDefault="00F83C28" w:rsidP="00F8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53" w:rsidRPr="00D22125">
        <w:rPr>
          <w:rFonts w:ascii="Times New Roman" w:hAnsi="Times New Roman" w:cs="Times New Roman"/>
          <w:sz w:val="24"/>
          <w:szCs w:val="24"/>
        </w:rPr>
        <w:t>Gård</w:t>
      </w:r>
      <w:r w:rsidR="00733C57">
        <w:rPr>
          <w:rFonts w:ascii="Times New Roman" w:hAnsi="Times New Roman" w:cs="Times New Roman"/>
          <w:sz w:val="24"/>
          <w:szCs w:val="24"/>
        </w:rPr>
        <w:t xml:space="preserve"> </w:t>
      </w:r>
      <w:r w:rsidR="00954A53" w:rsidRPr="00D22125">
        <w:rPr>
          <w:rFonts w:ascii="Times New Roman" w:hAnsi="Times New Roman" w:cs="Times New Roman"/>
          <w:sz w:val="24"/>
          <w:szCs w:val="24"/>
        </w:rPr>
        <w:t>&amp;</w:t>
      </w:r>
      <w:r w:rsidR="00733C57">
        <w:rPr>
          <w:rFonts w:ascii="Times New Roman" w:hAnsi="Times New Roman" w:cs="Times New Roman"/>
          <w:sz w:val="24"/>
          <w:szCs w:val="24"/>
        </w:rPr>
        <w:t xml:space="preserve"> </w:t>
      </w:r>
      <w:r w:rsidR="00954A53" w:rsidRPr="00D22125">
        <w:rPr>
          <w:rFonts w:ascii="Times New Roman" w:hAnsi="Times New Roman" w:cs="Times New Roman"/>
          <w:sz w:val="24"/>
          <w:szCs w:val="24"/>
        </w:rPr>
        <w:t>Djurhälsan, Dolkvägen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A53" w:rsidRPr="00D22125">
        <w:rPr>
          <w:rFonts w:ascii="Times New Roman" w:hAnsi="Times New Roman" w:cs="Times New Roman"/>
          <w:sz w:val="24"/>
          <w:szCs w:val="24"/>
        </w:rPr>
        <w:t>262 74 Ängelholm</w:t>
      </w:r>
      <w:r>
        <w:rPr>
          <w:rFonts w:ascii="Times New Roman" w:hAnsi="Times New Roman" w:cs="Times New Roman"/>
          <w:sz w:val="24"/>
          <w:szCs w:val="24"/>
        </w:rPr>
        <w:br/>
      </w:r>
      <w:r w:rsidRPr="00F83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SVA, </w:t>
      </w:r>
      <w:r w:rsidR="008D7CD9">
        <w:rPr>
          <w:rFonts w:ascii="Times New Roman" w:hAnsi="Times New Roman" w:cs="Times New Roman"/>
          <w:sz w:val="24"/>
          <w:szCs w:val="24"/>
        </w:rPr>
        <w:t>751 89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Uppsal</w:t>
      </w:r>
      <w:r w:rsidR="000F4578" w:rsidRPr="00D22125">
        <w:rPr>
          <w:rFonts w:ascii="Times New Roman" w:hAnsi="Times New Roman" w:cs="Times New Roman"/>
          <w:sz w:val="24"/>
          <w:szCs w:val="24"/>
        </w:rPr>
        <w:t>a</w:t>
      </w:r>
      <w:r w:rsidR="00491812" w:rsidRPr="00D22125">
        <w:rPr>
          <w:rFonts w:ascii="Times New Roman" w:hAnsi="Times New Roman" w:cs="Times New Roman"/>
          <w:sz w:val="24"/>
          <w:szCs w:val="24"/>
        </w:rPr>
        <w:t>.</w:t>
      </w:r>
    </w:p>
    <w:p w14:paraId="19FC8473" w14:textId="77777777" w:rsidR="00B6090A" w:rsidRPr="00D22125" w:rsidRDefault="00B6090A" w:rsidP="00954A53">
      <w:pPr>
        <w:rPr>
          <w:rFonts w:ascii="Times New Roman" w:hAnsi="Times New Roman" w:cs="Times New Roman"/>
          <w:sz w:val="24"/>
          <w:szCs w:val="24"/>
        </w:rPr>
      </w:pPr>
    </w:p>
    <w:p w14:paraId="6E01DA35" w14:textId="4170A87C" w:rsidR="00954A53" w:rsidRPr="00D22125" w:rsidRDefault="00954A53" w:rsidP="00954A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125">
        <w:rPr>
          <w:rFonts w:ascii="Times New Roman" w:hAnsi="Times New Roman" w:cs="Times New Roman"/>
          <w:b/>
          <w:bCs/>
          <w:sz w:val="28"/>
          <w:szCs w:val="28"/>
        </w:rPr>
        <w:t>Inledning</w:t>
      </w:r>
    </w:p>
    <w:p w14:paraId="57F09F7A" w14:textId="4CBA8FD4" w:rsidR="00090773" w:rsidRPr="00D22125" w:rsidRDefault="00B64D67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>L</w:t>
      </w:r>
      <w:r w:rsidR="00954A53" w:rsidRPr="00D22125">
        <w:rPr>
          <w:rFonts w:ascii="Times New Roman" w:hAnsi="Times New Roman" w:cs="Times New Roman"/>
          <w:sz w:val="24"/>
          <w:szCs w:val="24"/>
        </w:rPr>
        <w:t>uftvägsinfektioner i den svenska grisuppfödningen har ökat under senare år (Fig</w:t>
      </w:r>
      <w:r w:rsidR="008D7CD9">
        <w:rPr>
          <w:rFonts w:ascii="Times New Roman" w:hAnsi="Times New Roman" w:cs="Times New Roman"/>
          <w:sz w:val="24"/>
          <w:szCs w:val="24"/>
        </w:rPr>
        <w:t>ur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1). </w:t>
      </w:r>
      <w:r w:rsidR="000F48D3">
        <w:rPr>
          <w:rFonts w:ascii="Times New Roman" w:hAnsi="Times New Roman" w:cs="Times New Roman"/>
          <w:sz w:val="24"/>
          <w:szCs w:val="24"/>
        </w:rPr>
        <w:t>D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ynamiken och förekomsten av olika infektioner såsom </w:t>
      </w:r>
      <w:r w:rsidR="00954A53" w:rsidRPr="00D2212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650F8">
        <w:rPr>
          <w:rFonts w:ascii="Times New Roman" w:hAnsi="Times New Roman" w:cs="Times New Roman"/>
          <w:i/>
          <w:iCs/>
          <w:sz w:val="24"/>
          <w:szCs w:val="24"/>
        </w:rPr>
        <w:t>ctinobacillus</w:t>
      </w:r>
      <w:r w:rsidR="00954A53" w:rsidRPr="00D22125">
        <w:rPr>
          <w:rFonts w:ascii="Times New Roman" w:hAnsi="Times New Roman" w:cs="Times New Roman"/>
          <w:i/>
          <w:iCs/>
          <w:sz w:val="24"/>
          <w:szCs w:val="24"/>
        </w:rPr>
        <w:t xml:space="preserve"> pleuropneumoniae </w:t>
      </w:r>
      <w:r w:rsidR="00954A53" w:rsidRPr="00D22125">
        <w:rPr>
          <w:rFonts w:ascii="Times New Roman" w:hAnsi="Times New Roman" w:cs="Times New Roman"/>
          <w:sz w:val="24"/>
          <w:szCs w:val="24"/>
        </w:rPr>
        <w:t>(</w:t>
      </w:r>
      <w:r w:rsidR="00954A53" w:rsidRPr="008D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), </w:t>
      </w:r>
      <w:r w:rsidR="00954A53" w:rsidRPr="00D2212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650F8">
        <w:rPr>
          <w:rFonts w:ascii="Times New Roman" w:hAnsi="Times New Roman" w:cs="Times New Roman"/>
          <w:i/>
          <w:iCs/>
          <w:sz w:val="24"/>
          <w:szCs w:val="24"/>
        </w:rPr>
        <w:t>ycoplasma</w:t>
      </w:r>
      <w:r w:rsidR="00954A53" w:rsidRPr="00D22125">
        <w:rPr>
          <w:rFonts w:ascii="Times New Roman" w:hAnsi="Times New Roman" w:cs="Times New Roman"/>
          <w:i/>
          <w:iCs/>
          <w:sz w:val="24"/>
          <w:szCs w:val="24"/>
        </w:rPr>
        <w:t xml:space="preserve"> hyopneumoniae</w:t>
      </w:r>
      <w:r w:rsidR="006632DA">
        <w:rPr>
          <w:rFonts w:ascii="Times New Roman" w:hAnsi="Times New Roman" w:cs="Times New Roman"/>
          <w:sz w:val="24"/>
          <w:szCs w:val="24"/>
        </w:rPr>
        <w:t xml:space="preserve"> (</w:t>
      </w:r>
      <w:r w:rsidR="006632DA" w:rsidRPr="00663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r w:rsidR="006632DA">
        <w:rPr>
          <w:rFonts w:ascii="Times New Roman" w:hAnsi="Times New Roman" w:cs="Times New Roman"/>
          <w:sz w:val="24"/>
          <w:szCs w:val="24"/>
        </w:rPr>
        <w:t>)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, </w:t>
      </w:r>
      <w:r w:rsidR="00B650F8">
        <w:rPr>
          <w:rFonts w:ascii="Times New Roman" w:hAnsi="Times New Roman" w:cs="Times New Roman"/>
          <w:sz w:val="24"/>
          <w:szCs w:val="24"/>
        </w:rPr>
        <w:t>I</w:t>
      </w:r>
      <w:r w:rsidR="00954A53" w:rsidRPr="00B650F8">
        <w:rPr>
          <w:rFonts w:ascii="Times New Roman" w:hAnsi="Times New Roman" w:cs="Times New Roman"/>
          <w:sz w:val="24"/>
          <w:szCs w:val="24"/>
        </w:rPr>
        <w:t>nfluensa A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och </w:t>
      </w:r>
      <w:r w:rsidR="00954A53" w:rsidRPr="00D22125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 w:rsidR="00B650F8">
        <w:rPr>
          <w:rFonts w:ascii="Times New Roman" w:hAnsi="Times New Roman" w:cs="Times New Roman"/>
          <w:i/>
          <w:iCs/>
          <w:sz w:val="24"/>
          <w:szCs w:val="24"/>
        </w:rPr>
        <w:t xml:space="preserve"> multocida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8D7CD9">
        <w:rPr>
          <w:rFonts w:ascii="Times New Roman" w:hAnsi="Times New Roman" w:cs="Times New Roman"/>
          <w:sz w:val="24"/>
          <w:szCs w:val="24"/>
        </w:rPr>
        <w:t xml:space="preserve">har </w:t>
      </w:r>
      <w:r w:rsidR="00954A53" w:rsidRPr="00D22125">
        <w:rPr>
          <w:rFonts w:ascii="Times New Roman" w:hAnsi="Times New Roman" w:cs="Times New Roman"/>
          <w:sz w:val="24"/>
          <w:szCs w:val="24"/>
        </w:rPr>
        <w:t>undersökts</w:t>
      </w:r>
      <w:r w:rsidR="000F48D3">
        <w:rPr>
          <w:rFonts w:ascii="Times New Roman" w:hAnsi="Times New Roman" w:cs="Times New Roman"/>
          <w:sz w:val="24"/>
          <w:szCs w:val="24"/>
        </w:rPr>
        <w:t xml:space="preserve"> i flera studier (2, 8)</w:t>
      </w:r>
      <w:r w:rsidR="008D7CD9">
        <w:rPr>
          <w:rFonts w:ascii="Times New Roman" w:hAnsi="Times New Roman" w:cs="Times New Roman"/>
          <w:sz w:val="24"/>
          <w:szCs w:val="24"/>
        </w:rPr>
        <w:t xml:space="preserve"> och d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et är välkänt att suggor kan vara symtomlösa smittbärare </w:t>
      </w:r>
      <w:r w:rsidR="00A055F1" w:rsidRPr="00D22125">
        <w:rPr>
          <w:rFonts w:ascii="Times New Roman" w:hAnsi="Times New Roman" w:cs="Times New Roman"/>
          <w:sz w:val="24"/>
          <w:szCs w:val="24"/>
        </w:rPr>
        <w:t>av dessa smittämnen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0F48D3">
        <w:rPr>
          <w:rFonts w:ascii="Times New Roman" w:hAnsi="Times New Roman" w:cs="Times New Roman"/>
          <w:sz w:val="24"/>
          <w:szCs w:val="24"/>
        </w:rPr>
        <w:t>(3)</w:t>
      </w:r>
      <w:r w:rsidR="008D7CD9">
        <w:rPr>
          <w:rFonts w:ascii="Times New Roman" w:hAnsi="Times New Roman" w:cs="Times New Roman"/>
          <w:sz w:val="24"/>
          <w:szCs w:val="24"/>
        </w:rPr>
        <w:t>,</w:t>
      </w:r>
      <w:r w:rsidR="000F48D3">
        <w:rPr>
          <w:rFonts w:ascii="Times New Roman" w:hAnsi="Times New Roman" w:cs="Times New Roman"/>
          <w:sz w:val="24"/>
          <w:szCs w:val="24"/>
        </w:rPr>
        <w:t xml:space="preserve"> liksom </w:t>
      </w:r>
      <w:r w:rsidR="00954A53" w:rsidRPr="00D22125">
        <w:rPr>
          <w:rFonts w:ascii="Times New Roman" w:hAnsi="Times New Roman" w:cs="Times New Roman"/>
          <w:sz w:val="24"/>
          <w:szCs w:val="24"/>
        </w:rPr>
        <w:t>att smågrisar kan smittas redan under diperioden</w:t>
      </w:r>
      <w:r w:rsidR="000F48D3">
        <w:rPr>
          <w:rFonts w:ascii="Times New Roman" w:hAnsi="Times New Roman" w:cs="Times New Roman"/>
          <w:sz w:val="24"/>
          <w:szCs w:val="24"/>
        </w:rPr>
        <w:t xml:space="preserve"> (</w:t>
      </w:r>
      <w:r w:rsidR="008D7CD9">
        <w:rPr>
          <w:rFonts w:ascii="Times New Roman" w:hAnsi="Times New Roman" w:cs="Times New Roman"/>
          <w:sz w:val="24"/>
          <w:szCs w:val="24"/>
        </w:rPr>
        <w:t>4</w:t>
      </w:r>
      <w:r w:rsidR="000F48D3">
        <w:rPr>
          <w:rFonts w:ascii="Times New Roman" w:hAnsi="Times New Roman" w:cs="Times New Roman"/>
          <w:sz w:val="24"/>
          <w:szCs w:val="24"/>
        </w:rPr>
        <w:t>)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. Resultaten från studien om förekomst av </w:t>
      </w:r>
      <w:r w:rsidR="00954A53" w:rsidRPr="00B37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i tonsiller i suggor som genomförts under 2019 (</w:t>
      </w:r>
      <w:r w:rsidR="000F48D3">
        <w:rPr>
          <w:rFonts w:ascii="Times New Roman" w:hAnsi="Times New Roman" w:cs="Times New Roman"/>
          <w:sz w:val="24"/>
          <w:szCs w:val="24"/>
        </w:rPr>
        <w:t>1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) visade </w:t>
      </w:r>
      <w:r w:rsidR="005C729E">
        <w:rPr>
          <w:rFonts w:ascii="Times New Roman" w:hAnsi="Times New Roman" w:cs="Times New Roman"/>
          <w:sz w:val="24"/>
          <w:szCs w:val="24"/>
        </w:rPr>
        <w:t xml:space="preserve">dock 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att det inte </w:t>
      </w:r>
      <w:r w:rsidR="005C729E">
        <w:rPr>
          <w:rFonts w:ascii="Times New Roman" w:hAnsi="Times New Roman" w:cs="Times New Roman"/>
          <w:sz w:val="24"/>
          <w:szCs w:val="24"/>
        </w:rPr>
        <w:t>fanns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några tydliga samband mellan förekomst av </w:t>
      </w:r>
      <w:r w:rsidR="00954A53" w:rsidRPr="008D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i tonsillerna hos suggor och mängden antikroppar i blodet. Däremot </w:t>
      </w:r>
      <w:r w:rsidR="00106844" w:rsidRPr="00D22125">
        <w:rPr>
          <w:rFonts w:ascii="Times New Roman" w:hAnsi="Times New Roman" w:cs="Times New Roman"/>
          <w:sz w:val="24"/>
          <w:szCs w:val="24"/>
        </w:rPr>
        <w:t xml:space="preserve">förekom </w:t>
      </w:r>
      <w:r w:rsidR="00954A53" w:rsidRPr="00D22125">
        <w:rPr>
          <w:rFonts w:ascii="Times New Roman" w:hAnsi="Times New Roman" w:cs="Times New Roman"/>
          <w:sz w:val="24"/>
          <w:szCs w:val="24"/>
        </w:rPr>
        <w:t>kroniska förändringar på lungorna</w:t>
      </w:r>
      <w:r w:rsidR="008D7CD9">
        <w:rPr>
          <w:rFonts w:ascii="Times New Roman" w:hAnsi="Times New Roman" w:cs="Times New Roman"/>
          <w:sz w:val="24"/>
          <w:szCs w:val="24"/>
        </w:rPr>
        <w:t xml:space="preserve"> hos suggorna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vilket visade att lunginfektionerna inte läkt ut fullständigt</w:t>
      </w:r>
      <w:r w:rsidR="00106844" w:rsidRPr="00D22125">
        <w:rPr>
          <w:rFonts w:ascii="Times New Roman" w:hAnsi="Times New Roman" w:cs="Times New Roman"/>
          <w:sz w:val="24"/>
          <w:szCs w:val="24"/>
        </w:rPr>
        <w:t xml:space="preserve">, </w:t>
      </w:r>
      <w:r w:rsidR="00B650F8">
        <w:rPr>
          <w:rFonts w:ascii="Times New Roman" w:hAnsi="Times New Roman" w:cs="Times New Roman"/>
          <w:sz w:val="24"/>
          <w:szCs w:val="24"/>
        </w:rPr>
        <w:t>något som</w:t>
      </w:r>
      <w:r w:rsidR="008D7CD9">
        <w:rPr>
          <w:rFonts w:ascii="Times New Roman" w:hAnsi="Times New Roman" w:cs="Times New Roman"/>
          <w:sz w:val="24"/>
          <w:szCs w:val="24"/>
        </w:rPr>
        <w:t xml:space="preserve"> </w:t>
      </w:r>
      <w:r w:rsidR="009C7601" w:rsidRPr="00D22125">
        <w:rPr>
          <w:rFonts w:ascii="Times New Roman" w:hAnsi="Times New Roman" w:cs="Times New Roman"/>
          <w:sz w:val="24"/>
          <w:szCs w:val="24"/>
        </w:rPr>
        <w:t>även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106844" w:rsidRPr="00D22125">
        <w:rPr>
          <w:rFonts w:ascii="Times New Roman" w:hAnsi="Times New Roman" w:cs="Times New Roman"/>
          <w:sz w:val="24"/>
          <w:szCs w:val="24"/>
        </w:rPr>
        <w:t>antyds i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figur </w:t>
      </w:r>
      <w:r w:rsidR="00B650F8">
        <w:rPr>
          <w:rFonts w:ascii="Times New Roman" w:hAnsi="Times New Roman" w:cs="Times New Roman"/>
          <w:sz w:val="24"/>
          <w:szCs w:val="24"/>
        </w:rPr>
        <w:t xml:space="preserve">1 där </w:t>
      </w:r>
      <w:r w:rsidR="00B650F8" w:rsidRPr="00D22125">
        <w:rPr>
          <w:rFonts w:ascii="Times New Roman" w:hAnsi="Times New Roman" w:cs="Times New Roman"/>
          <w:sz w:val="24"/>
          <w:szCs w:val="24"/>
        </w:rPr>
        <w:t xml:space="preserve">den ökande förekomsten av kroniska brösthinneärr för </w:t>
      </w:r>
      <w:r w:rsidR="00B650F8">
        <w:rPr>
          <w:rFonts w:ascii="Times New Roman" w:hAnsi="Times New Roman" w:cs="Times New Roman"/>
          <w:sz w:val="24"/>
          <w:szCs w:val="24"/>
        </w:rPr>
        <w:t xml:space="preserve">såväl </w:t>
      </w:r>
      <w:r w:rsidR="00B650F8" w:rsidRPr="00D22125">
        <w:rPr>
          <w:rFonts w:ascii="Times New Roman" w:hAnsi="Times New Roman" w:cs="Times New Roman"/>
          <w:sz w:val="24"/>
          <w:szCs w:val="24"/>
        </w:rPr>
        <w:t xml:space="preserve">slaktgrisar som suggor </w:t>
      </w:r>
      <w:r w:rsidR="00B650F8">
        <w:rPr>
          <w:rFonts w:ascii="Times New Roman" w:hAnsi="Times New Roman" w:cs="Times New Roman"/>
          <w:sz w:val="24"/>
          <w:szCs w:val="24"/>
        </w:rPr>
        <w:t xml:space="preserve">åskådliggörs </w:t>
      </w:r>
      <w:r w:rsidR="00B650F8" w:rsidRPr="00D22125">
        <w:rPr>
          <w:rFonts w:ascii="Times New Roman" w:hAnsi="Times New Roman" w:cs="Times New Roman"/>
          <w:sz w:val="24"/>
          <w:szCs w:val="24"/>
        </w:rPr>
        <w:t>över tid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. Med nuvarande analysmetoder verkar det därför inte möjligt att identifiera ”högrisk-suggor” och slakta ut dessa för att </w:t>
      </w:r>
      <w:r w:rsidR="00106844" w:rsidRPr="00D22125">
        <w:rPr>
          <w:rFonts w:ascii="Times New Roman" w:hAnsi="Times New Roman" w:cs="Times New Roman"/>
          <w:sz w:val="24"/>
          <w:szCs w:val="24"/>
        </w:rPr>
        <w:t xml:space="preserve">minska </w:t>
      </w:r>
      <w:proofErr w:type="spellStart"/>
      <w:r w:rsidR="00954A53" w:rsidRPr="00D22125">
        <w:rPr>
          <w:rFonts w:ascii="Times New Roman" w:hAnsi="Times New Roman" w:cs="Times New Roman"/>
          <w:sz w:val="24"/>
          <w:szCs w:val="24"/>
        </w:rPr>
        <w:t>smitt</w:t>
      </w:r>
      <w:r w:rsidR="00733C57">
        <w:rPr>
          <w:rFonts w:ascii="Times New Roman" w:hAnsi="Times New Roman" w:cs="Times New Roman"/>
          <w:sz w:val="24"/>
          <w:szCs w:val="24"/>
        </w:rPr>
        <w:t>-t</w:t>
      </w:r>
      <w:r w:rsidR="00954A53" w:rsidRPr="00D22125">
        <w:rPr>
          <w:rFonts w:ascii="Times New Roman" w:hAnsi="Times New Roman" w:cs="Times New Roman"/>
          <w:sz w:val="24"/>
          <w:szCs w:val="24"/>
        </w:rPr>
        <w:t>rycket</w:t>
      </w:r>
      <w:proofErr w:type="spellEnd"/>
      <w:r w:rsidR="00954A53" w:rsidRPr="00D22125">
        <w:rPr>
          <w:rFonts w:ascii="Times New Roman" w:hAnsi="Times New Roman" w:cs="Times New Roman"/>
          <w:sz w:val="24"/>
          <w:szCs w:val="24"/>
        </w:rPr>
        <w:t xml:space="preserve"> i en besättning.</w:t>
      </w:r>
    </w:p>
    <w:p w14:paraId="36E5FB51" w14:textId="77777777" w:rsidR="004C25BB" w:rsidRPr="00D22125" w:rsidRDefault="004C25BB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32843B" w14:textId="400A4BB7" w:rsidR="004C25BB" w:rsidRPr="00D22125" w:rsidRDefault="004C25BB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0792E1" wp14:editId="5DDC5E0F">
            <wp:extent cx="5760720" cy="2704465"/>
            <wp:effectExtent l="0" t="0" r="11430" b="63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703578A6-4C16-4BE3-A857-2E3F5609FE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57AADE" w14:textId="3E6D3351" w:rsidR="004C25BB" w:rsidRPr="00366D95" w:rsidRDefault="00E8599F" w:rsidP="00954A53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66D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Figur 1</w:t>
      </w:r>
      <w:r w:rsidRPr="00366D95">
        <w:rPr>
          <w:rFonts w:ascii="Times New Roman" w:hAnsi="Times New Roman" w:cs="Times New Roman"/>
          <w:i/>
          <w:iCs/>
          <w:sz w:val="20"/>
          <w:szCs w:val="20"/>
        </w:rPr>
        <w:t>. Prevalensen av registreringar för brösthinneärr vid slakt</w:t>
      </w:r>
      <w:r w:rsidR="00B650F8">
        <w:rPr>
          <w:rFonts w:ascii="Times New Roman" w:hAnsi="Times New Roman" w:cs="Times New Roman"/>
          <w:i/>
          <w:iCs/>
          <w:sz w:val="20"/>
          <w:szCs w:val="20"/>
        </w:rPr>
        <w:t xml:space="preserve"> under perioden </w:t>
      </w:r>
      <w:proofErr w:type="gramStart"/>
      <w:r w:rsidR="00B650F8">
        <w:rPr>
          <w:rFonts w:ascii="Times New Roman" w:hAnsi="Times New Roman" w:cs="Times New Roman"/>
          <w:i/>
          <w:iCs/>
          <w:sz w:val="20"/>
          <w:szCs w:val="20"/>
        </w:rPr>
        <w:t>2005-2018</w:t>
      </w:r>
      <w:proofErr w:type="gramEnd"/>
      <w:r w:rsidR="003E78CC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1F648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Nationella slaktdatabasen.</w:t>
      </w:r>
    </w:p>
    <w:p w14:paraId="3AF95A51" w14:textId="77777777" w:rsidR="00B6090A" w:rsidRPr="00D22125" w:rsidRDefault="00B6090A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0145C98" w14:textId="68A3BDFF" w:rsidR="00366D95" w:rsidRDefault="00954A53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Vi behöver därför finna andra vägar för att minska smittspridningen. </w:t>
      </w:r>
      <w:r w:rsidR="00205194" w:rsidRPr="00D22125">
        <w:rPr>
          <w:rFonts w:ascii="Times New Roman" w:hAnsi="Times New Roman" w:cs="Times New Roman"/>
          <w:sz w:val="24"/>
          <w:szCs w:val="24"/>
        </w:rPr>
        <w:t xml:space="preserve">Exempelvis har </w:t>
      </w:r>
      <w:r w:rsidR="006632DA" w:rsidRPr="00663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r w:rsidR="00B650F8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>ansetts vara en primärinfektion som kan bana väg för andra luftvägsinfektioner.</w:t>
      </w:r>
      <w:r w:rsidR="00DC7B63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 xml:space="preserve">En </w:t>
      </w:r>
      <w:r w:rsidR="00205194" w:rsidRPr="00D22125">
        <w:rPr>
          <w:rFonts w:ascii="Times New Roman" w:hAnsi="Times New Roman" w:cs="Times New Roman"/>
          <w:sz w:val="24"/>
          <w:szCs w:val="24"/>
        </w:rPr>
        <w:t xml:space="preserve">annan </w:t>
      </w:r>
      <w:r w:rsidRPr="00D22125">
        <w:rPr>
          <w:rFonts w:ascii="Times New Roman" w:hAnsi="Times New Roman" w:cs="Times New Roman"/>
          <w:sz w:val="24"/>
          <w:szCs w:val="24"/>
        </w:rPr>
        <w:t xml:space="preserve">teori som framförts är att gyltor som grisar in för första gången </w:t>
      </w:r>
      <w:r w:rsidR="00FC0188" w:rsidRPr="00D22125">
        <w:rPr>
          <w:rFonts w:ascii="Times New Roman" w:hAnsi="Times New Roman" w:cs="Times New Roman"/>
          <w:sz w:val="24"/>
          <w:szCs w:val="24"/>
        </w:rPr>
        <w:t xml:space="preserve">kan medföra risk </w:t>
      </w:r>
      <w:r w:rsidRPr="00D22125">
        <w:rPr>
          <w:rFonts w:ascii="Times New Roman" w:hAnsi="Times New Roman" w:cs="Times New Roman"/>
          <w:sz w:val="24"/>
          <w:szCs w:val="24"/>
        </w:rPr>
        <w:t xml:space="preserve">för spridningen av </w:t>
      </w:r>
      <w:r w:rsidRPr="00164E77">
        <w:rPr>
          <w:rFonts w:ascii="Times New Roman" w:hAnsi="Times New Roman" w:cs="Times New Roman"/>
          <w:sz w:val="24"/>
          <w:szCs w:val="24"/>
        </w:rPr>
        <w:t>infektioner</w:t>
      </w:r>
      <w:r w:rsidR="005C729E" w:rsidRPr="00164E77">
        <w:rPr>
          <w:rFonts w:ascii="Times New Roman" w:hAnsi="Times New Roman" w:cs="Times New Roman"/>
          <w:sz w:val="24"/>
          <w:szCs w:val="24"/>
        </w:rPr>
        <w:t xml:space="preserve"> eftersom de ännu inte uppnått en immunitet som är relevant för den nya miljö de befinner sig i</w:t>
      </w:r>
      <w:r w:rsidRPr="00164E77">
        <w:rPr>
          <w:rFonts w:ascii="Times New Roman" w:hAnsi="Times New Roman" w:cs="Times New Roman"/>
          <w:sz w:val="24"/>
          <w:szCs w:val="24"/>
        </w:rPr>
        <w:t>. Inköpta gyltor kan infekteras med flera smittämnen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, exempelvis </w:t>
      </w:r>
      <w:r w:rsidR="00B6090A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6090A" w:rsidRPr="00164E77">
        <w:rPr>
          <w:rFonts w:ascii="Times New Roman" w:hAnsi="Times New Roman" w:cs="Times New Roman"/>
          <w:sz w:val="24"/>
          <w:szCs w:val="24"/>
        </w:rPr>
        <w:t>,</w:t>
      </w:r>
      <w:r w:rsidRPr="00164E77">
        <w:rPr>
          <w:rFonts w:ascii="Times New Roman" w:hAnsi="Times New Roman" w:cs="Times New Roman"/>
          <w:sz w:val="24"/>
          <w:szCs w:val="24"/>
        </w:rPr>
        <w:t xml:space="preserve"> vid introduktionen i ny besättning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 och gyltorna kommer då att härbärgera bakterierna i tonsillerna (3). </w:t>
      </w:r>
      <w:r w:rsidR="00875C80" w:rsidRPr="00164E77">
        <w:rPr>
          <w:rFonts w:ascii="Times New Roman" w:hAnsi="Times New Roman" w:cs="Times New Roman"/>
          <w:sz w:val="24"/>
          <w:szCs w:val="24"/>
        </w:rPr>
        <w:t>P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åfrestningarna på gyltorna vid </w:t>
      </w:r>
      <w:r w:rsidRPr="00164E77">
        <w:rPr>
          <w:rFonts w:ascii="Times New Roman" w:hAnsi="Times New Roman" w:cs="Times New Roman"/>
          <w:sz w:val="24"/>
          <w:szCs w:val="24"/>
        </w:rPr>
        <w:t xml:space="preserve">grisning </w:t>
      </w:r>
      <w:r w:rsidR="005C729E" w:rsidRPr="00164E77">
        <w:rPr>
          <w:rFonts w:ascii="Times New Roman" w:hAnsi="Times New Roman" w:cs="Times New Roman"/>
          <w:sz w:val="24"/>
          <w:szCs w:val="24"/>
        </w:rPr>
        <w:t xml:space="preserve">tillsammans med transfereringen av </w:t>
      </w:r>
      <w:r w:rsidR="00164E77" w:rsidRPr="00164E77">
        <w:rPr>
          <w:rFonts w:ascii="Times New Roman" w:hAnsi="Times New Roman" w:cs="Times New Roman"/>
          <w:sz w:val="24"/>
          <w:szCs w:val="24"/>
        </w:rPr>
        <w:t>skyddande antikroppar</w:t>
      </w:r>
      <w:r w:rsidR="005C729E" w:rsidRPr="00164E77">
        <w:rPr>
          <w:rFonts w:ascii="Times New Roman" w:hAnsi="Times New Roman" w:cs="Times New Roman"/>
          <w:sz w:val="24"/>
          <w:szCs w:val="24"/>
        </w:rPr>
        <w:t xml:space="preserve"> från den egna cirkulationen till råmjölken 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skulle </w:t>
      </w:r>
      <w:r w:rsidR="00875C80" w:rsidRPr="00164E77">
        <w:rPr>
          <w:rFonts w:ascii="Times New Roman" w:hAnsi="Times New Roman" w:cs="Times New Roman"/>
          <w:sz w:val="24"/>
          <w:szCs w:val="24"/>
        </w:rPr>
        <w:t>då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 kunna</w:t>
      </w:r>
      <w:r w:rsidRPr="00164E77">
        <w:rPr>
          <w:rFonts w:ascii="Times New Roman" w:hAnsi="Times New Roman" w:cs="Times New Roman"/>
          <w:sz w:val="24"/>
          <w:szCs w:val="24"/>
        </w:rPr>
        <w:t xml:space="preserve"> leda till en aktiv</w:t>
      </w:r>
      <w:r w:rsidR="00B6090A" w:rsidRPr="00164E77">
        <w:rPr>
          <w:rFonts w:ascii="Times New Roman" w:hAnsi="Times New Roman" w:cs="Times New Roman"/>
          <w:sz w:val="24"/>
          <w:szCs w:val="24"/>
        </w:rPr>
        <w:t>ering av</w:t>
      </w:r>
      <w:r w:rsidRPr="00164E77">
        <w:rPr>
          <w:rFonts w:ascii="Times New Roman" w:hAnsi="Times New Roman" w:cs="Times New Roman"/>
          <w:sz w:val="24"/>
          <w:szCs w:val="24"/>
        </w:rPr>
        <w:t xml:space="preserve"> </w:t>
      </w:r>
      <w:r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Pr="00164E77">
        <w:rPr>
          <w:rFonts w:ascii="Times New Roman" w:hAnsi="Times New Roman" w:cs="Times New Roman"/>
          <w:sz w:val="24"/>
          <w:szCs w:val="24"/>
        </w:rPr>
        <w:t>-infektion</w:t>
      </w:r>
      <w:r w:rsidR="00875C80" w:rsidRPr="00164E77">
        <w:rPr>
          <w:rFonts w:ascii="Times New Roman" w:hAnsi="Times New Roman" w:cs="Times New Roman"/>
          <w:sz w:val="24"/>
          <w:szCs w:val="24"/>
        </w:rPr>
        <w:t>en</w:t>
      </w:r>
      <w:r w:rsidRPr="00164E77">
        <w:rPr>
          <w:rFonts w:ascii="Times New Roman" w:hAnsi="Times New Roman" w:cs="Times New Roman"/>
          <w:sz w:val="24"/>
          <w:szCs w:val="24"/>
        </w:rPr>
        <w:t xml:space="preserve"> </w:t>
      </w:r>
      <w:r w:rsidR="00875C80" w:rsidRPr="00164E77">
        <w:rPr>
          <w:rFonts w:ascii="Times New Roman" w:hAnsi="Times New Roman" w:cs="Times New Roman"/>
          <w:sz w:val="24"/>
          <w:szCs w:val="24"/>
        </w:rPr>
        <w:t xml:space="preserve">vid grisning </w:t>
      </w:r>
      <w:r w:rsidRPr="00164E77">
        <w:rPr>
          <w:rFonts w:ascii="Times New Roman" w:hAnsi="Times New Roman" w:cs="Times New Roman"/>
          <w:sz w:val="24"/>
          <w:szCs w:val="24"/>
        </w:rPr>
        <w:t xml:space="preserve">och därmed riskera att smågrisar </w:t>
      </w:r>
      <w:r w:rsidR="00875C80" w:rsidRPr="00164E77">
        <w:rPr>
          <w:rFonts w:ascii="Times New Roman" w:hAnsi="Times New Roman" w:cs="Times New Roman"/>
          <w:sz w:val="24"/>
          <w:szCs w:val="24"/>
        </w:rPr>
        <w:t xml:space="preserve">smittas </w:t>
      </w:r>
      <w:r w:rsidR="00B6090A" w:rsidRPr="00164E77">
        <w:rPr>
          <w:rFonts w:ascii="Times New Roman" w:hAnsi="Times New Roman" w:cs="Times New Roman"/>
          <w:sz w:val="24"/>
          <w:szCs w:val="24"/>
        </w:rPr>
        <w:t xml:space="preserve">redan </w:t>
      </w:r>
      <w:r w:rsidRPr="00164E77">
        <w:rPr>
          <w:rFonts w:ascii="Times New Roman" w:hAnsi="Times New Roman" w:cs="Times New Roman"/>
          <w:sz w:val="24"/>
          <w:szCs w:val="24"/>
        </w:rPr>
        <w:t xml:space="preserve">under digivningen. </w:t>
      </w:r>
    </w:p>
    <w:p w14:paraId="6805D8D2" w14:textId="2262A3ED" w:rsidR="00090773" w:rsidRPr="00D22125" w:rsidRDefault="005C729E" w:rsidP="00954A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rovtagning för att undersöka förekomsten </w:t>
      </w:r>
      <w:r>
        <w:rPr>
          <w:rFonts w:ascii="Times New Roman" w:hAnsi="Times New Roman" w:cs="Times New Roman"/>
          <w:sz w:val="24"/>
          <w:szCs w:val="24"/>
        </w:rPr>
        <w:t xml:space="preserve">av antikroppar riktade mot alla olika serotyper av </w:t>
      </w:r>
      <w:r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genomfördes</w:t>
      </w:r>
      <w:r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954A53" w:rsidRPr="00D22125">
        <w:rPr>
          <w:rFonts w:ascii="Times New Roman" w:hAnsi="Times New Roman" w:cs="Times New Roman"/>
          <w:sz w:val="24"/>
          <w:szCs w:val="24"/>
        </w:rPr>
        <w:t>under 2017 i de 30 livdjursbesättningarna som då fanns</w:t>
      </w:r>
      <w:r w:rsidR="00B37E6E">
        <w:rPr>
          <w:rFonts w:ascii="Times New Roman" w:hAnsi="Times New Roman" w:cs="Times New Roman"/>
          <w:sz w:val="24"/>
          <w:szCs w:val="24"/>
        </w:rPr>
        <w:t xml:space="preserve"> i Sverige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. Antikroppar riktade mot </w:t>
      </w:r>
      <w:r w:rsidR="00B650F8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650F8">
        <w:rPr>
          <w:rFonts w:ascii="Times New Roman" w:hAnsi="Times New Roman" w:cs="Times New Roman"/>
          <w:sz w:val="24"/>
          <w:szCs w:val="24"/>
        </w:rPr>
        <w:t xml:space="preserve"> serotyp 2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som är den allvarligast</w:t>
      </w:r>
      <w:r w:rsidR="00197752" w:rsidRPr="00D22125">
        <w:rPr>
          <w:rFonts w:ascii="Times New Roman" w:hAnsi="Times New Roman" w:cs="Times New Roman"/>
          <w:sz w:val="24"/>
          <w:szCs w:val="24"/>
        </w:rPr>
        <w:t>e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serotypen</w:t>
      </w:r>
      <w:r w:rsidR="00F22761">
        <w:rPr>
          <w:rFonts w:ascii="Times New Roman" w:hAnsi="Times New Roman" w:cs="Times New Roman"/>
          <w:sz w:val="24"/>
          <w:szCs w:val="24"/>
        </w:rPr>
        <w:t xml:space="preserve"> av </w:t>
      </w:r>
      <w:r w:rsidR="00F22761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 i Sverige påvisades inte i någon besättning upp till 20 veckors ålder och endast i två av besättningarna vid 30 veckors ålder</w:t>
      </w:r>
      <w:r w:rsidR="00B650F8">
        <w:rPr>
          <w:rFonts w:ascii="Times New Roman" w:hAnsi="Times New Roman" w:cs="Times New Roman"/>
          <w:sz w:val="24"/>
          <w:szCs w:val="24"/>
        </w:rPr>
        <w:t xml:space="preserve"> (7)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. Avseende </w:t>
      </w:r>
      <w:r w:rsidR="00954A53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650F8">
        <w:rPr>
          <w:rFonts w:ascii="Times New Roman" w:hAnsi="Times New Roman" w:cs="Times New Roman"/>
          <w:sz w:val="24"/>
          <w:szCs w:val="24"/>
        </w:rPr>
        <w:t xml:space="preserve"> serotyp </w:t>
      </w:r>
      <w:r w:rsidR="00954A53" w:rsidRPr="00D22125">
        <w:rPr>
          <w:rFonts w:ascii="Times New Roman" w:hAnsi="Times New Roman" w:cs="Times New Roman"/>
          <w:sz w:val="24"/>
          <w:szCs w:val="24"/>
        </w:rPr>
        <w:t>3-6-8 påvisades aldrig antikroppar hos 10 veckor gamla djur, men vid 20 veckors ålder påvisades antikroppar i tre av de 30 besättningarna (</w:t>
      </w:r>
      <w:r w:rsidR="00F22761">
        <w:rPr>
          <w:rFonts w:ascii="Times New Roman" w:hAnsi="Times New Roman" w:cs="Times New Roman"/>
          <w:sz w:val="24"/>
          <w:szCs w:val="24"/>
        </w:rPr>
        <w:t>7</w:t>
      </w:r>
      <w:r w:rsidR="00B650F8">
        <w:rPr>
          <w:rFonts w:ascii="Times New Roman" w:hAnsi="Times New Roman" w:cs="Times New Roman"/>
          <w:sz w:val="24"/>
          <w:szCs w:val="24"/>
        </w:rPr>
        <w:t>)</w:t>
      </w:r>
      <w:r w:rsidR="00954A53" w:rsidRPr="00D22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59D3E" w14:textId="010F76E2" w:rsidR="005E4C41" w:rsidRPr="00D22125" w:rsidRDefault="00954A53" w:rsidP="005E4C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Det </w:t>
      </w:r>
      <w:r w:rsidR="00FC0188" w:rsidRPr="00D22125">
        <w:rPr>
          <w:rFonts w:ascii="Times New Roman" w:hAnsi="Times New Roman" w:cs="Times New Roman"/>
          <w:sz w:val="24"/>
          <w:szCs w:val="24"/>
        </w:rPr>
        <w:t xml:space="preserve">förefaller </w:t>
      </w:r>
      <w:r w:rsidRPr="00D22125">
        <w:rPr>
          <w:rFonts w:ascii="Times New Roman" w:hAnsi="Times New Roman" w:cs="Times New Roman"/>
          <w:sz w:val="24"/>
          <w:szCs w:val="24"/>
        </w:rPr>
        <w:t xml:space="preserve">därför </w:t>
      </w:r>
      <w:r w:rsidR="00106844" w:rsidRPr="00D22125">
        <w:rPr>
          <w:rFonts w:ascii="Times New Roman" w:hAnsi="Times New Roman" w:cs="Times New Roman"/>
          <w:sz w:val="24"/>
          <w:szCs w:val="24"/>
        </w:rPr>
        <w:t xml:space="preserve">sannolikt </w:t>
      </w:r>
      <w:r w:rsidRPr="00D22125">
        <w:rPr>
          <w:rFonts w:ascii="Times New Roman" w:hAnsi="Times New Roman" w:cs="Times New Roman"/>
          <w:sz w:val="24"/>
          <w:szCs w:val="24"/>
        </w:rPr>
        <w:t xml:space="preserve">att gyltor </w:t>
      </w:r>
      <w:r w:rsidR="00106844" w:rsidRPr="00D22125">
        <w:rPr>
          <w:rFonts w:ascii="Times New Roman" w:hAnsi="Times New Roman" w:cs="Times New Roman"/>
          <w:sz w:val="24"/>
          <w:szCs w:val="24"/>
        </w:rPr>
        <w:t>antingen</w:t>
      </w:r>
      <w:r w:rsidRPr="00D22125">
        <w:rPr>
          <w:rFonts w:ascii="Times New Roman" w:hAnsi="Times New Roman" w:cs="Times New Roman"/>
          <w:sz w:val="24"/>
          <w:szCs w:val="24"/>
        </w:rPr>
        <w:t xml:space="preserve"> smittas av </w:t>
      </w:r>
      <w:r w:rsidR="00B650F8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Pr="00D22125">
        <w:rPr>
          <w:rFonts w:ascii="Times New Roman" w:hAnsi="Times New Roman" w:cs="Times New Roman"/>
          <w:sz w:val="24"/>
          <w:szCs w:val="24"/>
        </w:rPr>
        <w:t xml:space="preserve"> när de kommer i kontakt med </w:t>
      </w:r>
      <w:r w:rsidRPr="00164E77">
        <w:rPr>
          <w:rFonts w:ascii="Times New Roman" w:hAnsi="Times New Roman" w:cs="Times New Roman"/>
          <w:sz w:val="24"/>
          <w:szCs w:val="24"/>
        </w:rPr>
        <w:t xml:space="preserve">djuren i den </w:t>
      </w:r>
      <w:r w:rsidR="00875C80" w:rsidRPr="00164E77">
        <w:rPr>
          <w:rFonts w:ascii="Times New Roman" w:hAnsi="Times New Roman" w:cs="Times New Roman"/>
          <w:sz w:val="24"/>
          <w:szCs w:val="24"/>
        </w:rPr>
        <w:t xml:space="preserve">nya </w:t>
      </w:r>
      <w:r w:rsidRPr="00164E77">
        <w:rPr>
          <w:rFonts w:ascii="Times New Roman" w:hAnsi="Times New Roman" w:cs="Times New Roman"/>
          <w:sz w:val="24"/>
          <w:szCs w:val="24"/>
        </w:rPr>
        <w:t xml:space="preserve">besättning </w:t>
      </w:r>
      <w:r w:rsidRPr="00D22125">
        <w:rPr>
          <w:rFonts w:ascii="Times New Roman" w:hAnsi="Times New Roman" w:cs="Times New Roman"/>
          <w:sz w:val="24"/>
          <w:szCs w:val="24"/>
        </w:rPr>
        <w:t>de kommer till</w:t>
      </w:r>
      <w:r w:rsidR="00B650F8">
        <w:rPr>
          <w:rFonts w:ascii="Times New Roman" w:hAnsi="Times New Roman" w:cs="Times New Roman"/>
          <w:sz w:val="24"/>
          <w:szCs w:val="24"/>
        </w:rPr>
        <w:t>,</w:t>
      </w:r>
      <w:r w:rsidR="00106844" w:rsidRPr="00D22125">
        <w:rPr>
          <w:rFonts w:ascii="Times New Roman" w:hAnsi="Times New Roman" w:cs="Times New Roman"/>
          <w:sz w:val="24"/>
          <w:szCs w:val="24"/>
        </w:rPr>
        <w:t xml:space="preserve"> eller att de </w:t>
      </w:r>
      <w:r w:rsidRPr="00D22125">
        <w:rPr>
          <w:rFonts w:ascii="Times New Roman" w:hAnsi="Times New Roman" w:cs="Times New Roman"/>
          <w:sz w:val="24"/>
          <w:szCs w:val="24"/>
        </w:rPr>
        <w:t xml:space="preserve">bär på </w:t>
      </w:r>
      <w:r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Pr="00D22125">
        <w:rPr>
          <w:rFonts w:ascii="Times New Roman" w:hAnsi="Times New Roman" w:cs="Times New Roman"/>
          <w:sz w:val="24"/>
          <w:szCs w:val="24"/>
        </w:rPr>
        <w:t>-bakterier i tonsillerna</w:t>
      </w:r>
      <w:r w:rsidR="00F22761">
        <w:rPr>
          <w:rFonts w:ascii="Times New Roman" w:hAnsi="Times New Roman" w:cs="Times New Roman"/>
          <w:sz w:val="24"/>
          <w:szCs w:val="24"/>
        </w:rPr>
        <w:t xml:space="preserve"> redan vid ankomsten</w:t>
      </w:r>
      <w:r w:rsidR="00106844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Under den s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ista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månaden av dräktigheten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förflyttas antikroppar från cirkulationen till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råmjölken</w:t>
      </w:r>
      <w:r w:rsidR="005E4C41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22761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4C41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och moderdjuren som får lägre koncentrationer av cirkulerande antikroppar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blir </w:t>
      </w:r>
      <w:r w:rsidR="006B765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därmed 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själv</w:t>
      </w:r>
      <w:r w:rsidR="00B650F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75C80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mer känslig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för störningar såsom infektioner. </w:t>
      </w:r>
      <w:r w:rsidR="005E4C41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ubkliniska infektioner i </w:t>
      </w:r>
      <w:r w:rsidR="005E4C41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exempelvis</w:t>
      </w:r>
      <w:r w:rsidR="00132935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tonsillerna kan då </w:t>
      </w:r>
      <w:r w:rsidR="004E2AE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sprida</w:t>
      </w:r>
      <w:r w:rsidR="00B650F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2AE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0F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inom </w:t>
      </w:r>
      <w:r w:rsidR="00B650F8">
        <w:rPr>
          <w:rFonts w:ascii="Times New Roman" w:hAnsi="Times New Roman" w:cs="Times New Roman"/>
          <w:sz w:val="24"/>
          <w:szCs w:val="24"/>
        </w:rPr>
        <w:t>ett djur</w:t>
      </w:r>
      <w:r w:rsidR="004E2AE2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223929" w:rsidRPr="00D22125">
        <w:rPr>
          <w:rFonts w:ascii="Times New Roman" w:hAnsi="Times New Roman" w:cs="Times New Roman"/>
          <w:sz w:val="24"/>
          <w:szCs w:val="24"/>
        </w:rPr>
        <w:t xml:space="preserve">och </w:t>
      </w:r>
      <w:r w:rsidR="00B650F8">
        <w:rPr>
          <w:rFonts w:ascii="Times New Roman" w:hAnsi="Times New Roman" w:cs="Times New Roman"/>
          <w:sz w:val="24"/>
          <w:szCs w:val="24"/>
        </w:rPr>
        <w:t>även</w:t>
      </w:r>
      <w:r w:rsidR="00223929" w:rsidRPr="00D22125">
        <w:rPr>
          <w:rFonts w:ascii="Times New Roman" w:hAnsi="Times New Roman" w:cs="Times New Roman"/>
          <w:sz w:val="24"/>
          <w:szCs w:val="24"/>
        </w:rPr>
        <w:t xml:space="preserve"> smitta andra grisar</w:t>
      </w:r>
      <w:r w:rsidR="00F41BF6" w:rsidRPr="00D22125">
        <w:rPr>
          <w:rFonts w:ascii="Times New Roman" w:hAnsi="Times New Roman" w:cs="Times New Roman"/>
          <w:sz w:val="24"/>
          <w:szCs w:val="24"/>
        </w:rPr>
        <w:t>.</w:t>
      </w:r>
      <w:r w:rsidR="005E4C41" w:rsidRPr="00D22125">
        <w:rPr>
          <w:rFonts w:ascii="Times New Roman" w:hAnsi="Times New Roman" w:cs="Times New Roman"/>
          <w:sz w:val="24"/>
          <w:szCs w:val="24"/>
        </w:rPr>
        <w:t xml:space="preserve"> Även den stress som uppstår i samband med grisning, eller i samband med introduktionen på den nya gården, kan tänkas trigga igång en utsöndring av </w:t>
      </w:r>
      <w:r w:rsidR="005E4C41" w:rsidRPr="00B6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5E4C41" w:rsidRPr="00D22125">
        <w:rPr>
          <w:rFonts w:ascii="Times New Roman" w:hAnsi="Times New Roman" w:cs="Times New Roman"/>
          <w:sz w:val="24"/>
          <w:szCs w:val="24"/>
        </w:rPr>
        <w:t xml:space="preserve"> (eller andra mikrober).</w:t>
      </w:r>
    </w:p>
    <w:p w14:paraId="4BB958EA" w14:textId="528C0769" w:rsidR="002A74FD" w:rsidRDefault="005E4C41" w:rsidP="00FF60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Därför bör sättet som </w:t>
      </w:r>
      <w:r w:rsidR="00B650F8">
        <w:rPr>
          <w:rFonts w:ascii="Times New Roman" w:hAnsi="Times New Roman" w:cs="Times New Roman"/>
          <w:sz w:val="24"/>
          <w:szCs w:val="24"/>
        </w:rPr>
        <w:t>nya gyltor</w:t>
      </w:r>
      <w:r w:rsidRPr="00D22125">
        <w:rPr>
          <w:rFonts w:ascii="Times New Roman" w:hAnsi="Times New Roman" w:cs="Times New Roman"/>
          <w:sz w:val="24"/>
          <w:szCs w:val="24"/>
        </w:rPr>
        <w:t xml:space="preserve"> introduceras i besättningen kunna ha betydelse för huruvida </w:t>
      </w:r>
      <w:r w:rsidR="00B650F8">
        <w:rPr>
          <w:rFonts w:ascii="Times New Roman" w:hAnsi="Times New Roman" w:cs="Times New Roman"/>
          <w:sz w:val="24"/>
          <w:szCs w:val="24"/>
        </w:rPr>
        <w:t>de</w:t>
      </w:r>
      <w:r w:rsidRPr="00D22125">
        <w:rPr>
          <w:rFonts w:ascii="Times New Roman" w:hAnsi="Times New Roman" w:cs="Times New Roman"/>
          <w:sz w:val="24"/>
          <w:szCs w:val="24"/>
        </w:rPr>
        <w:t xml:space="preserve"> själv</w:t>
      </w:r>
      <w:r w:rsidR="00B650F8">
        <w:rPr>
          <w:rFonts w:ascii="Times New Roman" w:hAnsi="Times New Roman" w:cs="Times New Roman"/>
          <w:sz w:val="24"/>
          <w:szCs w:val="24"/>
        </w:rPr>
        <w:t>a</w:t>
      </w:r>
      <w:r w:rsidRPr="00D22125">
        <w:rPr>
          <w:rFonts w:ascii="Times New Roman" w:hAnsi="Times New Roman" w:cs="Times New Roman"/>
          <w:sz w:val="24"/>
          <w:szCs w:val="24"/>
        </w:rPr>
        <w:t xml:space="preserve"> kommer att vara smittförande eller inte när </w:t>
      </w:r>
      <w:r w:rsidR="00B650F8">
        <w:rPr>
          <w:rFonts w:ascii="Times New Roman" w:hAnsi="Times New Roman" w:cs="Times New Roman"/>
          <w:sz w:val="24"/>
          <w:szCs w:val="24"/>
        </w:rPr>
        <w:t>de</w:t>
      </w:r>
      <w:r w:rsidRPr="00D22125">
        <w:rPr>
          <w:rFonts w:ascii="Times New Roman" w:hAnsi="Times New Roman" w:cs="Times New Roman"/>
          <w:sz w:val="24"/>
          <w:szCs w:val="24"/>
        </w:rPr>
        <w:t xml:space="preserve"> så småningom grisar in. </w:t>
      </w:r>
      <w:r w:rsidR="00132935" w:rsidRPr="00D22125">
        <w:rPr>
          <w:rFonts w:ascii="Times New Roman" w:hAnsi="Times New Roman" w:cs="Times New Roman"/>
          <w:sz w:val="24"/>
          <w:szCs w:val="24"/>
        </w:rPr>
        <w:t xml:space="preserve">Det finns besättningar som under mycket lång tid har </w:t>
      </w:r>
      <w:r w:rsidR="006B7650" w:rsidRPr="00D22125">
        <w:rPr>
          <w:rFonts w:ascii="Times New Roman" w:hAnsi="Times New Roman" w:cs="Times New Roman"/>
          <w:sz w:val="24"/>
          <w:szCs w:val="24"/>
        </w:rPr>
        <w:t>undvikit problem med</w:t>
      </w:r>
      <w:r w:rsidR="00132935" w:rsidRPr="00D22125">
        <w:rPr>
          <w:rFonts w:ascii="Times New Roman" w:hAnsi="Times New Roman" w:cs="Times New Roman"/>
          <w:sz w:val="24"/>
          <w:szCs w:val="24"/>
        </w:rPr>
        <w:t xml:space="preserve"> luftvägsinfektioner </w:t>
      </w:r>
      <w:r w:rsidR="00F97CA8">
        <w:rPr>
          <w:rFonts w:ascii="Times New Roman" w:hAnsi="Times New Roman" w:cs="Times New Roman"/>
          <w:sz w:val="24"/>
          <w:szCs w:val="24"/>
        </w:rPr>
        <w:t xml:space="preserve">hos de växande djuren </w:t>
      </w:r>
      <w:r w:rsidR="00132935" w:rsidRPr="00D22125">
        <w:rPr>
          <w:rFonts w:ascii="Times New Roman" w:hAnsi="Times New Roman" w:cs="Times New Roman"/>
          <w:sz w:val="24"/>
          <w:szCs w:val="24"/>
        </w:rPr>
        <w:t xml:space="preserve">och </w:t>
      </w:r>
      <w:r w:rsidR="00C154B4" w:rsidRPr="00D22125">
        <w:rPr>
          <w:rFonts w:ascii="Times New Roman" w:hAnsi="Times New Roman" w:cs="Times New Roman"/>
          <w:sz w:val="24"/>
          <w:szCs w:val="24"/>
        </w:rPr>
        <w:t>det är rekryteringsförfarandet i en sådan besättning (Besättning 1) som inspirerat till denna studie där målsättning var</w:t>
      </w:r>
      <w:r w:rsidR="00B650F8">
        <w:rPr>
          <w:rFonts w:ascii="Times New Roman" w:hAnsi="Times New Roman" w:cs="Times New Roman"/>
          <w:sz w:val="24"/>
          <w:szCs w:val="24"/>
        </w:rPr>
        <w:t>it</w:t>
      </w:r>
      <w:r w:rsidR="00C154B4" w:rsidRPr="00D22125">
        <w:rPr>
          <w:rFonts w:ascii="Times New Roman" w:hAnsi="Times New Roman" w:cs="Times New Roman"/>
          <w:sz w:val="24"/>
          <w:szCs w:val="24"/>
        </w:rPr>
        <w:t xml:space="preserve"> att försöka definiera lämpliga strategier </w:t>
      </w:r>
      <w:r w:rsidR="00F22761">
        <w:rPr>
          <w:rFonts w:ascii="Times New Roman" w:hAnsi="Times New Roman" w:cs="Times New Roman"/>
          <w:sz w:val="24"/>
          <w:szCs w:val="24"/>
        </w:rPr>
        <w:t xml:space="preserve">vid rekrytering </w:t>
      </w:r>
      <w:r w:rsidR="00C154B4" w:rsidRPr="00D22125">
        <w:rPr>
          <w:rFonts w:ascii="Times New Roman" w:hAnsi="Times New Roman" w:cs="Times New Roman"/>
          <w:sz w:val="24"/>
          <w:szCs w:val="24"/>
        </w:rPr>
        <w:t>av avelsdjur</w:t>
      </w:r>
      <w:r w:rsidR="00164E77">
        <w:rPr>
          <w:rFonts w:ascii="Times New Roman" w:hAnsi="Times New Roman" w:cs="Times New Roman"/>
          <w:sz w:val="24"/>
          <w:szCs w:val="24"/>
        </w:rPr>
        <w:t>.</w:t>
      </w:r>
    </w:p>
    <w:p w14:paraId="1BAC0874" w14:textId="77777777" w:rsidR="00F22761" w:rsidRPr="00D22125" w:rsidRDefault="00F22761" w:rsidP="00FF60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B9A9F9C" w14:textId="77777777" w:rsidR="00164E77" w:rsidRDefault="005A162E" w:rsidP="00C154B4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2125">
        <w:rPr>
          <w:rFonts w:ascii="Times New Roman" w:hAnsi="Times New Roman" w:cs="Times New Roman"/>
          <w:b/>
          <w:bCs/>
          <w:sz w:val="28"/>
          <w:szCs w:val="28"/>
        </w:rPr>
        <w:t>Material och metod</w:t>
      </w:r>
      <w:r w:rsidR="00A43CC2" w:rsidRPr="00D22125">
        <w:rPr>
          <w:rFonts w:ascii="Times New Roman" w:hAnsi="Times New Roman" w:cs="Times New Roman"/>
          <w:b/>
          <w:bCs/>
          <w:sz w:val="28"/>
          <w:szCs w:val="28"/>
        </w:rPr>
        <w:t>er</w:t>
      </w:r>
    </w:p>
    <w:p w14:paraId="1AE75BF4" w14:textId="40FC56CC" w:rsidR="00C154B4" w:rsidRPr="00711091" w:rsidRDefault="00C154B4" w:rsidP="00C154B4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Besättningar och rekryteringsmodeller</w:t>
      </w:r>
    </w:p>
    <w:p w14:paraId="6040E61F" w14:textId="760DC1FC" w:rsidR="00F97CA8" w:rsidRDefault="00C154B4" w:rsidP="00C154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>Besättning 1 köpt</w:t>
      </w:r>
      <w:r w:rsidR="006632DA">
        <w:rPr>
          <w:rFonts w:ascii="Times New Roman" w:hAnsi="Times New Roman" w:cs="Times New Roman"/>
          <w:sz w:val="24"/>
          <w:szCs w:val="24"/>
        </w:rPr>
        <w:t>e</w:t>
      </w:r>
      <w:r w:rsidRPr="00D22125">
        <w:rPr>
          <w:rFonts w:ascii="Times New Roman" w:hAnsi="Times New Roman" w:cs="Times New Roman"/>
          <w:sz w:val="24"/>
          <w:szCs w:val="24"/>
        </w:rPr>
        <w:t xml:space="preserve"> gyltor som var dräktiga sedan sju veckor</w:t>
      </w:r>
      <w:r w:rsidR="006632DA">
        <w:rPr>
          <w:rFonts w:ascii="Times New Roman" w:hAnsi="Times New Roman" w:cs="Times New Roman"/>
          <w:sz w:val="24"/>
          <w:szCs w:val="24"/>
        </w:rPr>
        <w:t xml:space="preserve"> och isolerade dessa</w:t>
      </w:r>
      <w:r w:rsidRPr="00D22125">
        <w:rPr>
          <w:rFonts w:ascii="Times New Roman" w:hAnsi="Times New Roman" w:cs="Times New Roman"/>
          <w:sz w:val="24"/>
          <w:szCs w:val="24"/>
        </w:rPr>
        <w:t xml:space="preserve"> i ett separat stall från ankomsten fram till grisning. Inför grisningen flyttades de till en separat grisningsavdelning i ett helt avskilt hus. I samband med avvänjningen flyttades de till </w:t>
      </w:r>
      <w:r w:rsidRPr="00D22125">
        <w:rPr>
          <w:rFonts w:ascii="Times New Roman" w:hAnsi="Times New Roman" w:cs="Times New Roman"/>
          <w:sz w:val="24"/>
          <w:szCs w:val="24"/>
        </w:rPr>
        <w:lastRenderedPageBreak/>
        <w:t>betäckningsavdelningen och det var först då som de kom i kontakt med gårdens övriga suggor.</w:t>
      </w:r>
      <w:r w:rsidR="00F97CA8">
        <w:rPr>
          <w:rFonts w:ascii="Times New Roman" w:hAnsi="Times New Roman" w:cs="Times New Roman"/>
          <w:sz w:val="24"/>
          <w:szCs w:val="24"/>
        </w:rPr>
        <w:t xml:space="preserve"> Detta innebar att de inköpta gyltorna kom i kontakt med den övriga besättningens avelsdjur först vid cirka 15 månaders ålder och att de därefter gick tillsammans med de övriga avelsdjuren i 4 månader innan de </w:t>
      </w:r>
      <w:r w:rsidR="00164E77">
        <w:rPr>
          <w:rFonts w:ascii="Times New Roman" w:hAnsi="Times New Roman" w:cs="Times New Roman"/>
          <w:sz w:val="24"/>
          <w:szCs w:val="24"/>
        </w:rPr>
        <w:t xml:space="preserve">på nytt </w:t>
      </w:r>
      <w:r w:rsidR="00F97CA8">
        <w:rPr>
          <w:rFonts w:ascii="Times New Roman" w:hAnsi="Times New Roman" w:cs="Times New Roman"/>
          <w:sz w:val="24"/>
          <w:szCs w:val="24"/>
        </w:rPr>
        <w:t>grisade in</w:t>
      </w:r>
      <w:r w:rsidR="00F22761">
        <w:rPr>
          <w:rFonts w:ascii="Times New Roman" w:hAnsi="Times New Roman" w:cs="Times New Roman"/>
          <w:sz w:val="24"/>
          <w:szCs w:val="24"/>
        </w:rPr>
        <w:t>.</w:t>
      </w:r>
    </w:p>
    <w:p w14:paraId="2BDBE995" w14:textId="76A4F4B5" w:rsidR="00C154B4" w:rsidRPr="00D22125" w:rsidRDefault="00C154B4" w:rsidP="00C154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Besättning </w:t>
      </w:r>
      <w:r w:rsidR="00A43CC2" w:rsidRPr="00D22125">
        <w:rPr>
          <w:rFonts w:ascii="Times New Roman" w:hAnsi="Times New Roman" w:cs="Times New Roman"/>
          <w:sz w:val="24"/>
          <w:szCs w:val="24"/>
        </w:rPr>
        <w:t>2</w:t>
      </w:r>
      <w:r w:rsidRPr="00D22125">
        <w:rPr>
          <w:rFonts w:ascii="Times New Roman" w:hAnsi="Times New Roman" w:cs="Times New Roman"/>
          <w:sz w:val="24"/>
          <w:szCs w:val="24"/>
        </w:rPr>
        <w:t xml:space="preserve"> ha</w:t>
      </w:r>
      <w:r w:rsidR="00A43CC2" w:rsidRPr="00D22125">
        <w:rPr>
          <w:rFonts w:ascii="Times New Roman" w:hAnsi="Times New Roman" w:cs="Times New Roman"/>
          <w:sz w:val="24"/>
          <w:szCs w:val="24"/>
        </w:rPr>
        <w:t xml:space="preserve">de nyligen infört </w:t>
      </w:r>
      <w:r w:rsidR="00F97CA8">
        <w:rPr>
          <w:rFonts w:ascii="Times New Roman" w:hAnsi="Times New Roman" w:cs="Times New Roman"/>
          <w:sz w:val="24"/>
          <w:szCs w:val="24"/>
        </w:rPr>
        <w:t>samma</w:t>
      </w:r>
      <w:r w:rsidR="00F97CA8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A43CC2" w:rsidRPr="00D22125">
        <w:rPr>
          <w:rFonts w:ascii="Times New Roman" w:hAnsi="Times New Roman" w:cs="Times New Roman"/>
          <w:sz w:val="24"/>
          <w:szCs w:val="24"/>
        </w:rPr>
        <w:t xml:space="preserve">rekryteringsmodell som Besättning 1, dvs </w:t>
      </w:r>
      <w:r w:rsidRPr="00D22125">
        <w:rPr>
          <w:rFonts w:ascii="Times New Roman" w:hAnsi="Times New Roman" w:cs="Times New Roman"/>
          <w:sz w:val="24"/>
          <w:szCs w:val="24"/>
        </w:rPr>
        <w:t xml:space="preserve">med </w:t>
      </w:r>
      <w:r w:rsidR="00A43CC2" w:rsidRPr="00D22125">
        <w:rPr>
          <w:rFonts w:ascii="Times New Roman" w:hAnsi="Times New Roman" w:cs="Times New Roman"/>
          <w:sz w:val="24"/>
          <w:szCs w:val="24"/>
        </w:rPr>
        <w:t>inköp av 7v-dräktiga gyltor som isolerades fram till grisning, grisade i en egen avdelning och introducerades till besättningens övriga avelsdjur först i samband med avvänjning.</w:t>
      </w:r>
      <w:r w:rsidR="00F22761">
        <w:rPr>
          <w:rFonts w:ascii="Times New Roman" w:hAnsi="Times New Roman" w:cs="Times New Roman"/>
          <w:sz w:val="24"/>
          <w:szCs w:val="24"/>
        </w:rPr>
        <w:t xml:space="preserve"> Även i denna besättning kom gyltorna i kontakt med den övriga besättningens avelsdjur först vid cirka 15 månaders ålder gick tillsammans med de övriga avelsdjuren i 4 månader innan de på nytt grisade in.</w:t>
      </w:r>
    </w:p>
    <w:p w14:paraId="721A0A33" w14:textId="29D2D4D7" w:rsidR="00F22761" w:rsidRDefault="00C154B4" w:rsidP="00C154B4">
      <w:pPr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Besättning 3 var en livdjursproducerande besättning som sålde ovaccinerade </w:t>
      </w:r>
      <w:r w:rsidR="000148CC">
        <w:rPr>
          <w:rFonts w:ascii="Times New Roman" w:hAnsi="Times New Roman" w:cs="Times New Roman"/>
          <w:sz w:val="24"/>
          <w:szCs w:val="24"/>
        </w:rPr>
        <w:t>dräktiga gyltor</w:t>
      </w:r>
      <w:r w:rsidR="000148CC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>till besättning 4</w:t>
      </w:r>
      <w:r w:rsidR="000148CC">
        <w:rPr>
          <w:rFonts w:ascii="Times New Roman" w:hAnsi="Times New Roman" w:cs="Times New Roman"/>
          <w:sz w:val="24"/>
          <w:szCs w:val="24"/>
        </w:rPr>
        <w:t>. Besättningen sålde även obetäckta</w:t>
      </w:r>
      <w:r w:rsidR="000148CC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 xml:space="preserve">gyltor till besättning 5. Dessa gyltor vaccinerades mot App2 (Suivac App2) </w:t>
      </w:r>
      <w:r w:rsidR="00E76237">
        <w:rPr>
          <w:rFonts w:ascii="Times New Roman" w:hAnsi="Times New Roman" w:cs="Times New Roman"/>
          <w:sz w:val="24"/>
          <w:szCs w:val="24"/>
        </w:rPr>
        <w:t>2</w:t>
      </w:r>
      <w:r w:rsidRPr="00D22125">
        <w:rPr>
          <w:rFonts w:ascii="Times New Roman" w:hAnsi="Times New Roman" w:cs="Times New Roman"/>
          <w:sz w:val="24"/>
          <w:szCs w:val="24"/>
        </w:rPr>
        <w:t xml:space="preserve"> gång</w:t>
      </w:r>
      <w:r w:rsidR="00E76237">
        <w:rPr>
          <w:rFonts w:ascii="Times New Roman" w:hAnsi="Times New Roman" w:cs="Times New Roman"/>
          <w:sz w:val="24"/>
          <w:szCs w:val="24"/>
        </w:rPr>
        <w:t>er</w:t>
      </w:r>
      <w:r w:rsidR="00075A14">
        <w:rPr>
          <w:rFonts w:ascii="Times New Roman" w:hAnsi="Times New Roman" w:cs="Times New Roman"/>
          <w:sz w:val="24"/>
          <w:szCs w:val="24"/>
        </w:rPr>
        <w:t xml:space="preserve"> strax</w:t>
      </w:r>
      <w:r w:rsidRPr="00D22125">
        <w:rPr>
          <w:rFonts w:ascii="Times New Roman" w:hAnsi="Times New Roman" w:cs="Times New Roman"/>
          <w:sz w:val="24"/>
          <w:szCs w:val="24"/>
        </w:rPr>
        <w:t xml:space="preserve"> före leverans</w:t>
      </w:r>
      <w:r w:rsidR="006632DA">
        <w:rPr>
          <w:rFonts w:ascii="Times New Roman" w:hAnsi="Times New Roman" w:cs="Times New Roman"/>
          <w:sz w:val="24"/>
          <w:szCs w:val="24"/>
        </w:rPr>
        <w:t xml:space="preserve"> därför att besättning 5 hade en lång historia av registreringar för pleurit vid slakt, vilka relaterats till </w:t>
      </w:r>
      <w:r w:rsidR="006632DA" w:rsidRPr="00663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6632DA">
        <w:rPr>
          <w:rFonts w:ascii="Times New Roman" w:hAnsi="Times New Roman" w:cs="Times New Roman"/>
          <w:sz w:val="24"/>
          <w:szCs w:val="24"/>
        </w:rPr>
        <w:t xml:space="preserve"> serotyp 2</w:t>
      </w:r>
      <w:r w:rsidR="00075A14">
        <w:rPr>
          <w:rFonts w:ascii="Times New Roman" w:hAnsi="Times New Roman" w:cs="Times New Roman"/>
          <w:sz w:val="24"/>
          <w:szCs w:val="24"/>
        </w:rPr>
        <w:t>.</w:t>
      </w:r>
      <w:r w:rsidR="000B6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8AA9" w14:textId="54759AFD" w:rsidR="00A43CC2" w:rsidRPr="00D22125" w:rsidRDefault="00A43CC2" w:rsidP="00C154B4">
      <w:pPr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Besättning 4 var en delintegrerad besättning som köpte ovaccinerade </w:t>
      </w:r>
      <w:r w:rsidR="006632DA">
        <w:rPr>
          <w:rFonts w:ascii="Times New Roman" w:hAnsi="Times New Roman" w:cs="Times New Roman"/>
          <w:sz w:val="24"/>
          <w:szCs w:val="24"/>
        </w:rPr>
        <w:t>förmodat</w:t>
      </w:r>
      <w:r w:rsidRPr="00D22125">
        <w:rPr>
          <w:rFonts w:ascii="Times New Roman" w:hAnsi="Times New Roman" w:cs="Times New Roman"/>
          <w:sz w:val="24"/>
          <w:szCs w:val="24"/>
        </w:rPr>
        <w:t xml:space="preserve"> seronegativa gyltor från besättning </w:t>
      </w:r>
      <w:r w:rsidR="006B17AD">
        <w:rPr>
          <w:rFonts w:ascii="Times New Roman" w:hAnsi="Times New Roman" w:cs="Times New Roman"/>
          <w:sz w:val="24"/>
          <w:szCs w:val="24"/>
        </w:rPr>
        <w:t xml:space="preserve">3. </w:t>
      </w:r>
      <w:r w:rsidRPr="00D22125">
        <w:rPr>
          <w:rFonts w:ascii="Times New Roman" w:hAnsi="Times New Roman" w:cs="Times New Roman"/>
          <w:sz w:val="24"/>
          <w:szCs w:val="24"/>
        </w:rPr>
        <w:t xml:space="preserve">Djuren </w:t>
      </w:r>
      <w:r w:rsidR="00F22761">
        <w:rPr>
          <w:rFonts w:ascii="Times New Roman" w:hAnsi="Times New Roman" w:cs="Times New Roman"/>
          <w:sz w:val="24"/>
          <w:szCs w:val="24"/>
        </w:rPr>
        <w:t xml:space="preserve">var dräktiga sedan 7 veckor vid ankomsten och de </w:t>
      </w:r>
      <w:r w:rsidRPr="00D22125">
        <w:rPr>
          <w:rFonts w:ascii="Times New Roman" w:hAnsi="Times New Roman" w:cs="Times New Roman"/>
          <w:sz w:val="24"/>
          <w:szCs w:val="24"/>
        </w:rPr>
        <w:t xml:space="preserve">isolerades 2,5 veckor </w:t>
      </w:r>
      <w:r w:rsidR="00D22125" w:rsidRPr="00D22125">
        <w:rPr>
          <w:rFonts w:ascii="Times New Roman" w:hAnsi="Times New Roman" w:cs="Times New Roman"/>
          <w:sz w:val="24"/>
          <w:szCs w:val="24"/>
        </w:rPr>
        <w:t xml:space="preserve">efter ankomsten </w:t>
      </w:r>
      <w:r w:rsidR="00164E77">
        <w:rPr>
          <w:rFonts w:ascii="Times New Roman" w:hAnsi="Times New Roman" w:cs="Times New Roman"/>
          <w:sz w:val="24"/>
          <w:szCs w:val="24"/>
        </w:rPr>
        <w:t xml:space="preserve">innan de flyttades till dräktighetsavdelningen. </w:t>
      </w:r>
      <w:r w:rsidR="009A4D47">
        <w:rPr>
          <w:rFonts w:ascii="Times New Roman" w:hAnsi="Times New Roman" w:cs="Times New Roman"/>
          <w:sz w:val="24"/>
          <w:szCs w:val="24"/>
        </w:rPr>
        <w:t xml:space="preserve">Under isoleringen vaccinerades gyltorna </w:t>
      </w:r>
      <w:r w:rsidR="006632DA">
        <w:rPr>
          <w:rFonts w:ascii="Times New Roman" w:hAnsi="Times New Roman" w:cs="Times New Roman"/>
          <w:sz w:val="24"/>
          <w:szCs w:val="24"/>
        </w:rPr>
        <w:t>mot influensa (</w:t>
      </w:r>
      <w:r w:rsidR="009A4D47">
        <w:rPr>
          <w:rFonts w:ascii="Times New Roman" w:hAnsi="Times New Roman" w:cs="Times New Roman"/>
          <w:sz w:val="24"/>
          <w:szCs w:val="24"/>
        </w:rPr>
        <w:t>Respipork Fluvac 3</w:t>
      </w:r>
      <w:r w:rsidR="006632DA">
        <w:rPr>
          <w:rFonts w:ascii="Times New Roman" w:hAnsi="Times New Roman" w:cs="Times New Roman"/>
          <w:sz w:val="24"/>
          <w:szCs w:val="24"/>
        </w:rPr>
        <w:t>)</w:t>
      </w:r>
      <w:r w:rsidR="009A4D47">
        <w:rPr>
          <w:rFonts w:ascii="Times New Roman" w:hAnsi="Times New Roman" w:cs="Times New Roman"/>
          <w:sz w:val="24"/>
          <w:szCs w:val="24"/>
        </w:rPr>
        <w:t>.</w:t>
      </w:r>
      <w:r w:rsidR="00F22761">
        <w:rPr>
          <w:rFonts w:ascii="Times New Roman" w:hAnsi="Times New Roman" w:cs="Times New Roman"/>
          <w:sz w:val="24"/>
          <w:szCs w:val="24"/>
        </w:rPr>
        <w:t xml:space="preserve"> Detta betydde att de inköpta djuren vistades cirka 7 veckor tillsammans med besättningens suggor innan de grisade in.</w:t>
      </w:r>
    </w:p>
    <w:p w14:paraId="3C3095FB" w14:textId="39017512" w:rsidR="00D22125" w:rsidRPr="00FE7FAF" w:rsidRDefault="00D22125" w:rsidP="00D22125">
      <w:pPr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Besättning 5 var en delintegrerad besättning </w:t>
      </w:r>
      <w:r w:rsidR="00F22761">
        <w:rPr>
          <w:rFonts w:ascii="Times New Roman" w:hAnsi="Times New Roman" w:cs="Times New Roman"/>
          <w:sz w:val="24"/>
          <w:szCs w:val="24"/>
        </w:rPr>
        <w:t>med en historia av hög</w:t>
      </w:r>
      <w:r w:rsidR="000148CC">
        <w:rPr>
          <w:rFonts w:ascii="Times New Roman" w:hAnsi="Times New Roman" w:cs="Times New Roman"/>
          <w:sz w:val="24"/>
          <w:szCs w:val="24"/>
        </w:rPr>
        <w:t xml:space="preserve"> </w:t>
      </w:r>
      <w:r w:rsidR="00F22761">
        <w:rPr>
          <w:rFonts w:ascii="Times New Roman" w:hAnsi="Times New Roman" w:cs="Times New Roman"/>
          <w:sz w:val="24"/>
          <w:szCs w:val="24"/>
        </w:rPr>
        <w:t xml:space="preserve">incidens pleuriter </w:t>
      </w:r>
      <w:r w:rsidR="000148CC">
        <w:rPr>
          <w:rFonts w:ascii="Times New Roman" w:hAnsi="Times New Roman" w:cs="Times New Roman"/>
          <w:sz w:val="24"/>
          <w:szCs w:val="24"/>
        </w:rPr>
        <w:t>regisserade</w:t>
      </w:r>
      <w:r w:rsidR="00F22761">
        <w:rPr>
          <w:rFonts w:ascii="Times New Roman" w:hAnsi="Times New Roman" w:cs="Times New Roman"/>
          <w:sz w:val="24"/>
          <w:szCs w:val="24"/>
        </w:rPr>
        <w:t xml:space="preserve"> vid slakt</w:t>
      </w:r>
      <w:r w:rsidR="000148CC">
        <w:rPr>
          <w:rFonts w:ascii="Times New Roman" w:hAnsi="Times New Roman" w:cs="Times New Roman"/>
          <w:sz w:val="24"/>
          <w:szCs w:val="24"/>
        </w:rPr>
        <w:t>. Besättningen</w:t>
      </w:r>
      <w:r w:rsidRPr="00D22125">
        <w:rPr>
          <w:rFonts w:ascii="Times New Roman" w:hAnsi="Times New Roman" w:cs="Times New Roman"/>
          <w:sz w:val="24"/>
          <w:szCs w:val="24"/>
        </w:rPr>
        <w:t xml:space="preserve"> köpte </w:t>
      </w:r>
      <w:r w:rsidR="000148CC">
        <w:rPr>
          <w:rFonts w:ascii="Times New Roman" w:hAnsi="Times New Roman" w:cs="Times New Roman"/>
          <w:sz w:val="24"/>
          <w:szCs w:val="24"/>
        </w:rPr>
        <w:t xml:space="preserve">som nämnts ovan </w:t>
      </w:r>
      <w:r w:rsidRPr="00D22125">
        <w:rPr>
          <w:rFonts w:ascii="Times New Roman" w:hAnsi="Times New Roman" w:cs="Times New Roman"/>
          <w:sz w:val="24"/>
          <w:szCs w:val="24"/>
        </w:rPr>
        <w:t>gylt</w:t>
      </w:r>
      <w:r w:rsidR="00F22761">
        <w:rPr>
          <w:rFonts w:ascii="Times New Roman" w:hAnsi="Times New Roman" w:cs="Times New Roman"/>
          <w:sz w:val="24"/>
          <w:szCs w:val="24"/>
        </w:rPr>
        <w:t>ämnen</w:t>
      </w:r>
      <w:r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0148CC">
        <w:rPr>
          <w:rFonts w:ascii="Times New Roman" w:hAnsi="Times New Roman" w:cs="Times New Roman"/>
          <w:sz w:val="24"/>
          <w:szCs w:val="24"/>
        </w:rPr>
        <w:t xml:space="preserve">som dessförinnan vaccinerats två gånger mot </w:t>
      </w:r>
      <w:r w:rsidR="000148CC" w:rsidRPr="006632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0148CC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>till två på varandra följande grisningsomgångar i taget.</w:t>
      </w:r>
      <w:r w:rsidR="006B17AD">
        <w:rPr>
          <w:rFonts w:ascii="Times New Roman" w:hAnsi="Times New Roman" w:cs="Times New Roman"/>
          <w:sz w:val="24"/>
          <w:szCs w:val="24"/>
        </w:rPr>
        <w:t xml:space="preserve"> </w:t>
      </w:r>
      <w:r w:rsidRPr="00D22125">
        <w:rPr>
          <w:rFonts w:ascii="Times New Roman" w:hAnsi="Times New Roman" w:cs="Times New Roman"/>
          <w:sz w:val="24"/>
          <w:szCs w:val="24"/>
        </w:rPr>
        <w:t xml:space="preserve">De </w:t>
      </w:r>
      <w:r w:rsidR="000148CC">
        <w:rPr>
          <w:rFonts w:ascii="Times New Roman" w:hAnsi="Times New Roman" w:cs="Times New Roman"/>
          <w:sz w:val="24"/>
          <w:szCs w:val="24"/>
        </w:rPr>
        <w:t xml:space="preserve">nyinköpta gyltorna </w:t>
      </w:r>
      <w:r w:rsidRPr="00D22125">
        <w:rPr>
          <w:rFonts w:ascii="Times New Roman" w:hAnsi="Times New Roman" w:cs="Times New Roman"/>
          <w:sz w:val="24"/>
          <w:szCs w:val="24"/>
        </w:rPr>
        <w:t>kom att stå i antingen tre eller sex veckor i isoleringen</w:t>
      </w:r>
      <w:r w:rsidR="00D64702">
        <w:rPr>
          <w:rFonts w:ascii="Times New Roman" w:hAnsi="Times New Roman" w:cs="Times New Roman"/>
          <w:sz w:val="24"/>
          <w:szCs w:val="24"/>
        </w:rPr>
        <w:t>. Efter isoleringsperioden flytta</w:t>
      </w:r>
      <w:r w:rsidR="005440A0">
        <w:rPr>
          <w:rFonts w:ascii="Times New Roman" w:hAnsi="Times New Roman" w:cs="Times New Roman"/>
          <w:sz w:val="24"/>
          <w:szCs w:val="24"/>
        </w:rPr>
        <w:t>des</w:t>
      </w:r>
      <w:r w:rsidR="00D64702">
        <w:rPr>
          <w:rFonts w:ascii="Times New Roman" w:hAnsi="Times New Roman" w:cs="Times New Roman"/>
          <w:sz w:val="24"/>
          <w:szCs w:val="24"/>
        </w:rPr>
        <w:t xml:space="preserve"> gyltorna 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en egen liten betäckningsavdelning där de </w:t>
      </w:r>
      <w:r w:rsidR="000148CC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gick 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i grupp på djurströbädd</w:t>
      </w:r>
      <w:r w:rsidR="000148CC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tillsammans med </w:t>
      </w:r>
      <w:r w:rsidR="000148CC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yra äldre suggor släpp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till gyltorna. En vecka efter betäckning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flytta</w:t>
      </w:r>
      <w:r w:rsidR="00645B28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hela gruppen till en annan något större avdelning där två gyltgrupper </w:t>
      </w:r>
      <w:r w:rsidR="000148CC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gick 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i var sin ströbädd med inspektionsgång emellan. Efter ca 3 v flytta</w:t>
      </w:r>
      <w:r w:rsidR="000148CC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64702" w:rsidRPr="00B37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64702" w:rsidRPr="00FE7FAF">
        <w:rPr>
          <w:rFonts w:ascii="Times New Roman" w:hAnsi="Times New Roman" w:cs="Times New Roman"/>
          <w:sz w:val="24"/>
          <w:szCs w:val="24"/>
        </w:rPr>
        <w:t>gruppen på nytt ut till en stor oisolerad sinavdelning med flera suggrupper. Gyltgruppen h</w:t>
      </w:r>
      <w:r w:rsidR="000148CC" w:rsidRPr="00FE7FAF">
        <w:rPr>
          <w:rFonts w:ascii="Times New Roman" w:hAnsi="Times New Roman" w:cs="Times New Roman"/>
          <w:sz w:val="24"/>
          <w:szCs w:val="24"/>
        </w:rPr>
        <w:t>ö</w:t>
      </w:r>
      <w:r w:rsidR="00D64702" w:rsidRPr="00FE7FAF">
        <w:rPr>
          <w:rFonts w:ascii="Times New Roman" w:hAnsi="Times New Roman" w:cs="Times New Roman"/>
          <w:sz w:val="24"/>
          <w:szCs w:val="24"/>
        </w:rPr>
        <w:t>lls fortsatt intakt men ha</w:t>
      </w:r>
      <w:r w:rsidR="000148CC" w:rsidRPr="00FE7FAF">
        <w:rPr>
          <w:rFonts w:ascii="Times New Roman" w:hAnsi="Times New Roman" w:cs="Times New Roman"/>
          <w:sz w:val="24"/>
          <w:szCs w:val="24"/>
        </w:rPr>
        <w:t>de</w:t>
      </w:r>
      <w:r w:rsidR="00D64702" w:rsidRPr="00FE7FAF">
        <w:rPr>
          <w:rFonts w:ascii="Times New Roman" w:hAnsi="Times New Roman" w:cs="Times New Roman"/>
          <w:sz w:val="24"/>
          <w:szCs w:val="24"/>
        </w:rPr>
        <w:t xml:space="preserve"> noskontakt med besättningens andra suggor genom en</w:t>
      </w:r>
      <w:r w:rsidR="00C76E22">
        <w:rPr>
          <w:rFonts w:ascii="Times New Roman" w:hAnsi="Times New Roman" w:cs="Times New Roman"/>
          <w:sz w:val="24"/>
          <w:szCs w:val="24"/>
        </w:rPr>
        <w:t xml:space="preserve"> grind</w:t>
      </w:r>
      <w:r w:rsidR="00D64702" w:rsidRPr="00FE7FAF">
        <w:rPr>
          <w:rFonts w:ascii="Times New Roman" w:hAnsi="Times New Roman" w:cs="Times New Roman"/>
          <w:sz w:val="24"/>
          <w:szCs w:val="24"/>
        </w:rPr>
        <w:t xml:space="preserve">. Inför grisning </w:t>
      </w:r>
      <w:r w:rsidR="000148CC" w:rsidRPr="00FE7FAF">
        <w:rPr>
          <w:rFonts w:ascii="Times New Roman" w:hAnsi="Times New Roman" w:cs="Times New Roman"/>
          <w:sz w:val="24"/>
          <w:szCs w:val="24"/>
        </w:rPr>
        <w:t>satt</w:t>
      </w:r>
      <w:r w:rsidR="00C76E22">
        <w:rPr>
          <w:rFonts w:ascii="Times New Roman" w:hAnsi="Times New Roman" w:cs="Times New Roman"/>
          <w:sz w:val="24"/>
          <w:szCs w:val="24"/>
        </w:rPr>
        <w:t>e</w:t>
      </w:r>
      <w:r w:rsidR="000148CC" w:rsidRPr="00FE7FAF">
        <w:rPr>
          <w:rFonts w:ascii="Times New Roman" w:hAnsi="Times New Roman" w:cs="Times New Roman"/>
          <w:sz w:val="24"/>
          <w:szCs w:val="24"/>
        </w:rPr>
        <w:t xml:space="preserve">s </w:t>
      </w:r>
      <w:r w:rsidR="00D64702" w:rsidRPr="00FE7FAF">
        <w:rPr>
          <w:rFonts w:ascii="Times New Roman" w:hAnsi="Times New Roman" w:cs="Times New Roman"/>
          <w:sz w:val="24"/>
          <w:szCs w:val="24"/>
        </w:rPr>
        <w:t>gyltorna som regel intill varandra i en rad i BB-avdelningen.</w:t>
      </w:r>
      <w:r w:rsidRPr="00FE7FAF">
        <w:rPr>
          <w:rFonts w:ascii="Times New Roman" w:hAnsi="Times New Roman" w:cs="Times New Roman"/>
          <w:sz w:val="24"/>
          <w:szCs w:val="24"/>
        </w:rPr>
        <w:t xml:space="preserve"> </w:t>
      </w:r>
      <w:r w:rsidR="000148CC" w:rsidRPr="00FE7FAF">
        <w:rPr>
          <w:rFonts w:ascii="Times New Roman" w:hAnsi="Times New Roman" w:cs="Times New Roman"/>
          <w:sz w:val="24"/>
          <w:szCs w:val="24"/>
        </w:rPr>
        <w:t xml:space="preserve">De inköpta gyltorna hade </w:t>
      </w:r>
      <w:r w:rsidR="00D741A4" w:rsidRPr="00FE7FAF">
        <w:rPr>
          <w:rFonts w:ascii="Times New Roman" w:hAnsi="Times New Roman" w:cs="Times New Roman"/>
          <w:sz w:val="24"/>
          <w:szCs w:val="24"/>
        </w:rPr>
        <w:t xml:space="preserve">därmed </w:t>
      </w:r>
      <w:r w:rsidR="000148CC" w:rsidRPr="00FE7FAF">
        <w:rPr>
          <w:rFonts w:ascii="Times New Roman" w:hAnsi="Times New Roman" w:cs="Times New Roman"/>
          <w:sz w:val="24"/>
          <w:szCs w:val="24"/>
        </w:rPr>
        <w:t>varit exponerade för berättningens avelsdjur minst 18 veckor innan de grisade in.</w:t>
      </w:r>
      <w:r w:rsidR="007157AD" w:rsidRPr="00FE7FAF">
        <w:rPr>
          <w:rFonts w:ascii="Times New Roman" w:hAnsi="Times New Roman" w:cs="Times New Roman"/>
          <w:sz w:val="24"/>
          <w:szCs w:val="24"/>
        </w:rPr>
        <w:t xml:space="preserve"> </w:t>
      </w:r>
      <w:r w:rsidR="00FE7FAF" w:rsidRPr="00FE7FAF">
        <w:rPr>
          <w:rFonts w:ascii="Times New Roman" w:hAnsi="Times New Roman" w:cs="Times New Roman"/>
          <w:sz w:val="24"/>
          <w:szCs w:val="24"/>
        </w:rPr>
        <w:t xml:space="preserve">Under 2020 </w:t>
      </w:r>
      <w:r w:rsidR="007157AD" w:rsidRPr="00FE7FAF">
        <w:rPr>
          <w:rFonts w:ascii="Times New Roman" w:hAnsi="Times New Roman" w:cs="Times New Roman"/>
          <w:sz w:val="24"/>
          <w:szCs w:val="24"/>
        </w:rPr>
        <w:t xml:space="preserve">upphörde </w:t>
      </w:r>
      <w:r w:rsidR="00B37E6E">
        <w:rPr>
          <w:rFonts w:ascii="Times New Roman" w:hAnsi="Times New Roman" w:cs="Times New Roman"/>
          <w:sz w:val="24"/>
          <w:szCs w:val="24"/>
        </w:rPr>
        <w:t xml:space="preserve">även </w:t>
      </w:r>
      <w:r w:rsidR="007157AD" w:rsidRPr="00FE7FAF">
        <w:rPr>
          <w:rFonts w:ascii="Times New Roman" w:hAnsi="Times New Roman" w:cs="Times New Roman"/>
          <w:sz w:val="24"/>
          <w:szCs w:val="24"/>
        </w:rPr>
        <w:t xml:space="preserve">sortering och omflyttningar av grisar </w:t>
      </w:r>
      <w:r w:rsidR="006632DA">
        <w:rPr>
          <w:rFonts w:ascii="Times New Roman" w:hAnsi="Times New Roman" w:cs="Times New Roman"/>
          <w:sz w:val="24"/>
          <w:szCs w:val="24"/>
        </w:rPr>
        <w:t>efter den initiala kullutjämninge</w:t>
      </w:r>
      <w:r w:rsidR="00C3061B">
        <w:rPr>
          <w:rFonts w:ascii="Times New Roman" w:hAnsi="Times New Roman" w:cs="Times New Roman"/>
          <w:sz w:val="24"/>
          <w:szCs w:val="24"/>
        </w:rPr>
        <w:t>n</w:t>
      </w:r>
      <w:r w:rsidR="006632DA">
        <w:rPr>
          <w:rFonts w:ascii="Times New Roman" w:hAnsi="Times New Roman" w:cs="Times New Roman"/>
          <w:sz w:val="24"/>
          <w:szCs w:val="24"/>
        </w:rPr>
        <w:t xml:space="preserve"> unde</w:t>
      </w:r>
      <w:r w:rsidR="00C3061B">
        <w:rPr>
          <w:rFonts w:ascii="Times New Roman" w:hAnsi="Times New Roman" w:cs="Times New Roman"/>
          <w:sz w:val="24"/>
          <w:szCs w:val="24"/>
        </w:rPr>
        <w:t>r</w:t>
      </w:r>
      <w:r w:rsidR="006632DA">
        <w:rPr>
          <w:rFonts w:ascii="Times New Roman" w:hAnsi="Times New Roman" w:cs="Times New Roman"/>
          <w:sz w:val="24"/>
          <w:szCs w:val="24"/>
        </w:rPr>
        <w:t xml:space="preserve"> de första levnadsdagarna. Därefter skedde inga </w:t>
      </w:r>
      <w:r w:rsidR="00C16832">
        <w:rPr>
          <w:rFonts w:ascii="Times New Roman" w:hAnsi="Times New Roman" w:cs="Times New Roman"/>
          <w:sz w:val="24"/>
          <w:szCs w:val="24"/>
        </w:rPr>
        <w:t>ytterligare</w:t>
      </w:r>
      <w:r w:rsidR="006632DA">
        <w:rPr>
          <w:rFonts w:ascii="Times New Roman" w:hAnsi="Times New Roman" w:cs="Times New Roman"/>
          <w:sz w:val="24"/>
          <w:szCs w:val="24"/>
        </w:rPr>
        <w:t xml:space="preserve"> omgrupperingar, vare sig </w:t>
      </w:r>
      <w:r w:rsidR="007157AD" w:rsidRPr="00FE7FAF">
        <w:rPr>
          <w:rFonts w:ascii="Times New Roman" w:hAnsi="Times New Roman" w:cs="Times New Roman"/>
          <w:sz w:val="24"/>
          <w:szCs w:val="24"/>
        </w:rPr>
        <w:t>i BB</w:t>
      </w:r>
      <w:r w:rsidR="006632DA">
        <w:rPr>
          <w:rFonts w:ascii="Times New Roman" w:hAnsi="Times New Roman" w:cs="Times New Roman"/>
          <w:sz w:val="24"/>
          <w:szCs w:val="24"/>
        </w:rPr>
        <w:t xml:space="preserve">, tillväxtavdelningen eller </w:t>
      </w:r>
      <w:r w:rsidR="007157AD" w:rsidRPr="00FE7FAF">
        <w:rPr>
          <w:rFonts w:ascii="Times New Roman" w:hAnsi="Times New Roman" w:cs="Times New Roman"/>
          <w:sz w:val="24"/>
          <w:szCs w:val="24"/>
        </w:rPr>
        <w:t>under den</w:t>
      </w:r>
      <w:r w:rsidR="00FE7FAF" w:rsidRPr="00FE7FAF">
        <w:rPr>
          <w:rFonts w:ascii="Times New Roman" w:hAnsi="Times New Roman" w:cs="Times New Roman"/>
          <w:sz w:val="24"/>
          <w:szCs w:val="24"/>
        </w:rPr>
        <w:t xml:space="preserve"> senare</w:t>
      </w:r>
      <w:r w:rsidR="007157AD" w:rsidRPr="00FE7FAF">
        <w:rPr>
          <w:rFonts w:ascii="Times New Roman" w:hAnsi="Times New Roman" w:cs="Times New Roman"/>
          <w:sz w:val="24"/>
          <w:szCs w:val="24"/>
        </w:rPr>
        <w:t xml:space="preserve"> uppfödningen</w:t>
      </w:r>
      <w:r w:rsidR="006B17AD">
        <w:rPr>
          <w:rFonts w:ascii="Times New Roman" w:hAnsi="Times New Roman" w:cs="Times New Roman"/>
          <w:sz w:val="24"/>
          <w:szCs w:val="24"/>
        </w:rPr>
        <w:t>.</w:t>
      </w:r>
    </w:p>
    <w:p w14:paraId="52F4E910" w14:textId="26D37ADE" w:rsidR="00A43CC2" w:rsidRPr="00D22125" w:rsidRDefault="00D22125" w:rsidP="00C154B4">
      <w:pPr>
        <w:rPr>
          <w:rFonts w:ascii="Times New Roman" w:hAnsi="Times New Roman" w:cs="Times New Roman"/>
          <w:sz w:val="24"/>
          <w:szCs w:val="24"/>
        </w:rPr>
      </w:pPr>
      <w:r w:rsidRPr="00FE7FAF">
        <w:rPr>
          <w:rFonts w:ascii="Times New Roman" w:hAnsi="Times New Roman" w:cs="Times New Roman"/>
          <w:sz w:val="24"/>
          <w:szCs w:val="24"/>
        </w:rPr>
        <w:t>Besättningarnas infrastruktur</w:t>
      </w:r>
      <w:r w:rsidRPr="00D22125">
        <w:rPr>
          <w:rFonts w:ascii="Times New Roman" w:hAnsi="Times New Roman" w:cs="Times New Roman"/>
          <w:sz w:val="24"/>
          <w:szCs w:val="24"/>
        </w:rPr>
        <w:t xml:space="preserve"> och de vaccinationer som utfördes redovisas i tabell 1.</w:t>
      </w:r>
    </w:p>
    <w:p w14:paraId="7795E020" w14:textId="77777777" w:rsidR="000148CC" w:rsidRDefault="000148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52C8F706" w14:textId="12AC506B" w:rsidR="002A6A30" w:rsidRPr="00493716" w:rsidRDefault="002A6A30" w:rsidP="002A6A3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71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Tabell 1.</w:t>
      </w:r>
      <w:r w:rsidRPr="00493716">
        <w:rPr>
          <w:rFonts w:ascii="Times New Roman" w:hAnsi="Times New Roman" w:cs="Times New Roman"/>
          <w:i/>
          <w:iCs/>
          <w:sz w:val="24"/>
          <w:szCs w:val="24"/>
        </w:rPr>
        <w:t xml:space="preserve"> Besättningsbeskrivningar</w:t>
      </w:r>
      <w:r w:rsidR="00D22125" w:rsidRPr="00493716">
        <w:rPr>
          <w:rFonts w:ascii="Times New Roman" w:hAnsi="Times New Roman" w:cs="Times New Roman"/>
          <w:i/>
          <w:iCs/>
          <w:sz w:val="24"/>
          <w:szCs w:val="24"/>
        </w:rPr>
        <w:t xml:space="preserve"> och vaccinationer</w:t>
      </w:r>
    </w:p>
    <w:tbl>
      <w:tblPr>
        <w:tblStyle w:val="Tabellrutnt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418"/>
        <w:gridCol w:w="1694"/>
      </w:tblGrid>
      <w:tr w:rsidR="006632DA" w:rsidRPr="006632DA" w14:paraId="425533BE" w14:textId="77777777" w:rsidTr="00745D21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B9703C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13531D" w14:textId="5DB57D71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Bes 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9BAD99" w14:textId="169A38C9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Bes 2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8448C" w14:textId="35813D9A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Bes 3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1A8481" w14:textId="3A251AD5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Bes 4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E5A13F2" w14:textId="3C8327B5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Bes 5 </w:t>
            </w:r>
          </w:p>
        </w:tc>
      </w:tr>
      <w:tr w:rsidR="006632DA" w:rsidRPr="006632DA" w14:paraId="4A71C998" w14:textId="77777777" w:rsidTr="00745D21">
        <w:tc>
          <w:tcPr>
            <w:tcW w:w="2410" w:type="dxa"/>
            <w:tcBorders>
              <w:top w:val="single" w:sz="4" w:space="0" w:color="auto"/>
            </w:tcBorders>
          </w:tcPr>
          <w:p w14:paraId="59AED12C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Suggor i produktion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9B5F6D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74C296" w14:textId="3936B5EB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A8954A" w14:textId="3B5F9F73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77416AC" w14:textId="5F98B0AE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B966F59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632DA" w:rsidRPr="006632DA" w14:paraId="2C557D89" w14:textId="77777777" w:rsidTr="00745D21">
        <w:tc>
          <w:tcPr>
            <w:tcW w:w="2410" w:type="dxa"/>
          </w:tcPr>
          <w:p w14:paraId="26BC5066" w14:textId="77777777" w:rsidR="006632DA" w:rsidRPr="006632DA" w:rsidRDefault="006632DA" w:rsidP="004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Grisningsintervall (v)</w:t>
            </w:r>
          </w:p>
        </w:tc>
        <w:tc>
          <w:tcPr>
            <w:tcW w:w="1418" w:type="dxa"/>
          </w:tcPr>
          <w:p w14:paraId="21650E8E" w14:textId="77777777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7-7-8</w:t>
            </w:r>
          </w:p>
        </w:tc>
        <w:tc>
          <w:tcPr>
            <w:tcW w:w="1134" w:type="dxa"/>
          </w:tcPr>
          <w:p w14:paraId="3CEC2B96" w14:textId="77777777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7-7-8</w:t>
            </w:r>
          </w:p>
        </w:tc>
        <w:tc>
          <w:tcPr>
            <w:tcW w:w="1417" w:type="dxa"/>
          </w:tcPr>
          <w:p w14:paraId="4B50F6B4" w14:textId="77777777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3-3-4</w:t>
            </w:r>
          </w:p>
        </w:tc>
        <w:tc>
          <w:tcPr>
            <w:tcW w:w="1418" w:type="dxa"/>
          </w:tcPr>
          <w:p w14:paraId="7C152FBA" w14:textId="5D579229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1694" w:type="dxa"/>
          </w:tcPr>
          <w:p w14:paraId="53D4F8B1" w14:textId="77777777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3-3-4</w:t>
            </w:r>
          </w:p>
        </w:tc>
      </w:tr>
      <w:tr w:rsidR="006632DA" w:rsidRPr="006632DA" w14:paraId="1E73633D" w14:textId="77777777" w:rsidTr="00745D21">
        <w:tc>
          <w:tcPr>
            <w:tcW w:w="2410" w:type="dxa"/>
          </w:tcPr>
          <w:p w14:paraId="15703D7F" w14:textId="45D05E9D" w:rsidR="006632DA" w:rsidRPr="006632DA" w:rsidRDefault="006632DA" w:rsidP="0043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3F028" w14:textId="3AF0E00E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0D8CA" w14:textId="6D2EE415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9A84E" w14:textId="244B05EC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4EACB3" w14:textId="2615903C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1442605" w14:textId="4BB2D155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A" w:rsidRPr="006632DA" w14:paraId="78261D1E" w14:textId="77777777" w:rsidTr="00745D21">
        <w:tc>
          <w:tcPr>
            <w:tcW w:w="2410" w:type="dxa"/>
          </w:tcPr>
          <w:p w14:paraId="0A4FBC17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Driftsform</w:t>
            </w:r>
          </w:p>
        </w:tc>
        <w:tc>
          <w:tcPr>
            <w:tcW w:w="1418" w:type="dxa"/>
          </w:tcPr>
          <w:p w14:paraId="2FEF791A" w14:textId="0E972BCA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Extern-integr</w:t>
            </w:r>
          </w:p>
        </w:tc>
        <w:tc>
          <w:tcPr>
            <w:tcW w:w="1134" w:type="dxa"/>
          </w:tcPr>
          <w:p w14:paraId="5283AB13" w14:textId="02EDC819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Integr</w:t>
            </w:r>
          </w:p>
        </w:tc>
        <w:tc>
          <w:tcPr>
            <w:tcW w:w="1417" w:type="dxa"/>
          </w:tcPr>
          <w:p w14:paraId="11059D82" w14:textId="328427A1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Livdjurs-prod</w:t>
            </w:r>
          </w:p>
        </w:tc>
        <w:tc>
          <w:tcPr>
            <w:tcW w:w="1418" w:type="dxa"/>
          </w:tcPr>
          <w:p w14:paraId="1F784D82" w14:textId="25D831B9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Delintegr</w:t>
            </w:r>
          </w:p>
        </w:tc>
        <w:tc>
          <w:tcPr>
            <w:tcW w:w="1694" w:type="dxa"/>
          </w:tcPr>
          <w:p w14:paraId="6542406D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Delintegr</w:t>
            </w:r>
          </w:p>
        </w:tc>
      </w:tr>
      <w:tr w:rsidR="006632DA" w:rsidRPr="006632DA" w14:paraId="40DCB244" w14:textId="77777777" w:rsidTr="00745D21">
        <w:tc>
          <w:tcPr>
            <w:tcW w:w="2410" w:type="dxa"/>
          </w:tcPr>
          <w:p w14:paraId="69380507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Antal slaktade/år</w:t>
            </w:r>
          </w:p>
        </w:tc>
        <w:tc>
          <w:tcPr>
            <w:tcW w:w="1418" w:type="dxa"/>
          </w:tcPr>
          <w:p w14:paraId="2525C492" w14:textId="7C09D07F" w:rsidR="006632DA" w:rsidRPr="00745D21" w:rsidRDefault="00745D21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3500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6E96334" w14:textId="772224BF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34F2E583" w14:textId="2046CB13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5BAF93" w14:textId="5E2DD930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694" w:type="dxa"/>
          </w:tcPr>
          <w:p w14:paraId="096B8434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632DA" w:rsidRPr="006632DA" w14:paraId="69113742" w14:textId="77777777" w:rsidTr="00745D21">
        <w:tc>
          <w:tcPr>
            <w:tcW w:w="2410" w:type="dxa"/>
          </w:tcPr>
          <w:p w14:paraId="6DAFAC26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Foder</w:t>
            </w:r>
          </w:p>
        </w:tc>
        <w:tc>
          <w:tcPr>
            <w:tcW w:w="1418" w:type="dxa"/>
          </w:tcPr>
          <w:p w14:paraId="076C18A8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Torrt</w:t>
            </w:r>
          </w:p>
        </w:tc>
        <w:tc>
          <w:tcPr>
            <w:tcW w:w="1134" w:type="dxa"/>
          </w:tcPr>
          <w:p w14:paraId="6D7DE243" w14:textId="73E8A008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Torrt</w:t>
            </w:r>
          </w:p>
        </w:tc>
        <w:tc>
          <w:tcPr>
            <w:tcW w:w="1417" w:type="dxa"/>
          </w:tcPr>
          <w:p w14:paraId="58FA9968" w14:textId="5BD12319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Blöt/torrt</w:t>
            </w:r>
          </w:p>
        </w:tc>
        <w:tc>
          <w:tcPr>
            <w:tcW w:w="1418" w:type="dxa"/>
          </w:tcPr>
          <w:p w14:paraId="20DC0359" w14:textId="205AB141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Blöt</w:t>
            </w:r>
          </w:p>
        </w:tc>
        <w:tc>
          <w:tcPr>
            <w:tcW w:w="1694" w:type="dxa"/>
          </w:tcPr>
          <w:p w14:paraId="33793BA2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Blöt</w:t>
            </w:r>
          </w:p>
        </w:tc>
      </w:tr>
      <w:tr w:rsidR="006632DA" w:rsidRPr="006632DA" w14:paraId="7C433405" w14:textId="77777777" w:rsidTr="00745D21">
        <w:tc>
          <w:tcPr>
            <w:tcW w:w="2410" w:type="dxa"/>
          </w:tcPr>
          <w:p w14:paraId="5481C03C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B88ECC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A6761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AE926" w14:textId="115E1CFA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F23C2" w14:textId="371ACDC3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A6B91DB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A" w:rsidRPr="006632DA" w14:paraId="1F417FDB" w14:textId="77777777" w:rsidTr="00745D21">
        <w:tc>
          <w:tcPr>
            <w:tcW w:w="2410" w:type="dxa"/>
          </w:tcPr>
          <w:p w14:paraId="13C9179B" w14:textId="77777777" w:rsidR="006632DA" w:rsidRPr="006632DA" w:rsidRDefault="006632DA" w:rsidP="0043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Inköp av gyltor</w:t>
            </w:r>
          </w:p>
        </w:tc>
        <w:tc>
          <w:tcPr>
            <w:tcW w:w="1418" w:type="dxa"/>
          </w:tcPr>
          <w:p w14:paraId="249B49AF" w14:textId="0ABF2B52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14:paraId="74669723" w14:textId="40486902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</w:tcPr>
          <w:p w14:paraId="1EC10E61" w14:textId="77777777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1418" w:type="dxa"/>
          </w:tcPr>
          <w:p w14:paraId="6F517208" w14:textId="3817E88A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Från Bes 3</w:t>
            </w:r>
          </w:p>
        </w:tc>
        <w:tc>
          <w:tcPr>
            <w:tcW w:w="1694" w:type="dxa"/>
          </w:tcPr>
          <w:p w14:paraId="22909219" w14:textId="1BE8EB58" w:rsidR="006632DA" w:rsidRPr="006632DA" w:rsidRDefault="006632DA" w:rsidP="0043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Från Bes 3</w:t>
            </w:r>
          </w:p>
        </w:tc>
      </w:tr>
      <w:tr w:rsidR="006632DA" w:rsidRPr="006632DA" w14:paraId="51A426D8" w14:textId="77777777" w:rsidTr="00745D21">
        <w:tc>
          <w:tcPr>
            <w:tcW w:w="2410" w:type="dxa"/>
          </w:tcPr>
          <w:p w14:paraId="075C7669" w14:textId="448CC60B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Typ av gyltor</w:t>
            </w:r>
          </w:p>
        </w:tc>
        <w:tc>
          <w:tcPr>
            <w:tcW w:w="1418" w:type="dxa"/>
          </w:tcPr>
          <w:p w14:paraId="013757BD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 v Dr</w:t>
            </w:r>
          </w:p>
        </w:tc>
        <w:tc>
          <w:tcPr>
            <w:tcW w:w="1134" w:type="dxa"/>
          </w:tcPr>
          <w:p w14:paraId="32C006D3" w14:textId="2A746C3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 v Dr</w:t>
            </w:r>
          </w:p>
        </w:tc>
        <w:tc>
          <w:tcPr>
            <w:tcW w:w="1417" w:type="dxa"/>
          </w:tcPr>
          <w:p w14:paraId="432DACFA" w14:textId="67967B78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A51B8F4" w14:textId="4ABAA2B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 v Dr</w:t>
            </w:r>
          </w:p>
        </w:tc>
        <w:tc>
          <w:tcPr>
            <w:tcW w:w="1694" w:type="dxa"/>
          </w:tcPr>
          <w:p w14:paraId="3C314E8B" w14:textId="7957D22B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Bet-färdiga</w:t>
            </w:r>
          </w:p>
        </w:tc>
      </w:tr>
      <w:tr w:rsidR="006632DA" w:rsidRPr="006632DA" w14:paraId="79696B46" w14:textId="77777777" w:rsidTr="00745D21">
        <w:tc>
          <w:tcPr>
            <w:tcW w:w="2410" w:type="dxa"/>
          </w:tcPr>
          <w:p w14:paraId="217310A6" w14:textId="7B1A1A93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Vacc </w:t>
            </w:r>
            <w:r w:rsidR="00745D21">
              <w:rPr>
                <w:rFonts w:ascii="Times New Roman" w:hAnsi="Times New Roman" w:cs="Times New Roman"/>
                <w:sz w:val="20"/>
                <w:szCs w:val="20"/>
              </w:rPr>
              <w:t>innan</w:t>
            </w: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 ankomst</w:t>
            </w:r>
          </w:p>
        </w:tc>
        <w:tc>
          <w:tcPr>
            <w:tcW w:w="1418" w:type="dxa"/>
          </w:tcPr>
          <w:p w14:paraId="56528486" w14:textId="7D9D955C" w:rsidR="006632DA" w:rsidRPr="00745D21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Mhyo</w:t>
            </w:r>
          </w:p>
        </w:tc>
        <w:tc>
          <w:tcPr>
            <w:tcW w:w="1134" w:type="dxa"/>
          </w:tcPr>
          <w:p w14:paraId="26FFF2DA" w14:textId="0E010A04" w:rsidR="006632DA" w:rsidRPr="006632DA" w:rsidRDefault="00745D21" w:rsidP="002308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Mhyo</w:t>
            </w:r>
          </w:p>
        </w:tc>
        <w:tc>
          <w:tcPr>
            <w:tcW w:w="1417" w:type="dxa"/>
          </w:tcPr>
          <w:p w14:paraId="36B2E8D0" w14:textId="0BD289DF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89A4F21" w14:textId="1F8EA882" w:rsidR="006632DA" w:rsidRPr="006632DA" w:rsidRDefault="00745D21" w:rsidP="002308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Mhyo</w:t>
            </w:r>
          </w:p>
        </w:tc>
        <w:tc>
          <w:tcPr>
            <w:tcW w:w="1694" w:type="dxa"/>
          </w:tcPr>
          <w:p w14:paraId="22DA571E" w14:textId="3100A32C" w:rsidR="006632DA" w:rsidRPr="00745D21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3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Mhyo</w:t>
            </w:r>
            <w:r w:rsidRPr="00663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, </w:t>
            </w:r>
            <w:r w:rsidRPr="006632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APP</w:t>
            </w:r>
          </w:p>
        </w:tc>
      </w:tr>
      <w:tr w:rsidR="006632DA" w:rsidRPr="006632DA" w14:paraId="365FC6D8" w14:textId="77777777" w:rsidTr="00745D21">
        <w:tc>
          <w:tcPr>
            <w:tcW w:w="2410" w:type="dxa"/>
          </w:tcPr>
          <w:p w14:paraId="5C454A46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Tid i isoleringen</w:t>
            </w:r>
          </w:p>
        </w:tc>
        <w:tc>
          <w:tcPr>
            <w:tcW w:w="1418" w:type="dxa"/>
          </w:tcPr>
          <w:p w14:paraId="693F445B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 v</w:t>
            </w:r>
          </w:p>
        </w:tc>
        <w:tc>
          <w:tcPr>
            <w:tcW w:w="1134" w:type="dxa"/>
          </w:tcPr>
          <w:p w14:paraId="59573E9A" w14:textId="6C0C0302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7 v</w:t>
            </w:r>
          </w:p>
        </w:tc>
        <w:tc>
          <w:tcPr>
            <w:tcW w:w="1417" w:type="dxa"/>
          </w:tcPr>
          <w:p w14:paraId="3B2E4A99" w14:textId="44144992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F0ACDD" w14:textId="40C60373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2,5 v</w:t>
            </w:r>
          </w:p>
        </w:tc>
        <w:tc>
          <w:tcPr>
            <w:tcW w:w="1694" w:type="dxa"/>
          </w:tcPr>
          <w:p w14:paraId="21249FF6" w14:textId="600DB886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3 resp. 6 v </w:t>
            </w:r>
            <w:r w:rsidR="00745D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1955A5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DA" w:rsidRPr="006632DA" w14:paraId="6BAFEE72" w14:textId="77777777" w:rsidTr="00745D21">
        <w:tc>
          <w:tcPr>
            <w:tcW w:w="2410" w:type="dxa"/>
          </w:tcPr>
          <w:p w14:paraId="50D1DAE6" w14:textId="002E6510" w:rsidR="006632DA" w:rsidRPr="006632DA" w:rsidRDefault="006632DA" w:rsidP="0074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Gyltor grisar i</w:t>
            </w:r>
            <w:r w:rsidR="0074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separat avd</w:t>
            </w:r>
          </w:p>
        </w:tc>
        <w:tc>
          <w:tcPr>
            <w:tcW w:w="1418" w:type="dxa"/>
          </w:tcPr>
          <w:p w14:paraId="1DC779BB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14:paraId="20B0C965" w14:textId="23DC5312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</w:tcPr>
          <w:p w14:paraId="0895BC0D" w14:textId="03098E9D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35BEC47" w14:textId="32671786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</w:tc>
        <w:tc>
          <w:tcPr>
            <w:tcW w:w="1694" w:type="dxa"/>
          </w:tcPr>
          <w:p w14:paraId="28844A6B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</w:tc>
      </w:tr>
      <w:tr w:rsidR="006632DA" w:rsidRPr="006632DA" w14:paraId="7C34DCC2" w14:textId="77777777" w:rsidTr="00745D21">
        <w:tc>
          <w:tcPr>
            <w:tcW w:w="2410" w:type="dxa"/>
          </w:tcPr>
          <w:p w14:paraId="575B8339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Vacc efter ankomst</w:t>
            </w:r>
          </w:p>
        </w:tc>
        <w:tc>
          <w:tcPr>
            <w:tcW w:w="1418" w:type="dxa"/>
          </w:tcPr>
          <w:p w14:paraId="6CC60CA1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34C61F" w14:textId="566BB061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PMWS</w:t>
            </w:r>
          </w:p>
        </w:tc>
        <w:tc>
          <w:tcPr>
            <w:tcW w:w="1417" w:type="dxa"/>
          </w:tcPr>
          <w:p w14:paraId="04DF5E0D" w14:textId="392AEF8D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827B905" w14:textId="2F299E14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Influensa</w:t>
            </w:r>
          </w:p>
        </w:tc>
        <w:tc>
          <w:tcPr>
            <w:tcW w:w="1694" w:type="dxa"/>
          </w:tcPr>
          <w:p w14:paraId="76F1B34E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Influensa, PMWS</w:t>
            </w:r>
          </w:p>
        </w:tc>
      </w:tr>
      <w:tr w:rsidR="006632DA" w:rsidRPr="006632DA" w14:paraId="350F89FF" w14:textId="77777777" w:rsidTr="00745D21">
        <w:tc>
          <w:tcPr>
            <w:tcW w:w="2410" w:type="dxa"/>
            <w:tcBorders>
              <w:bottom w:val="single" w:sz="4" w:space="0" w:color="auto"/>
            </w:tcBorders>
          </w:tcPr>
          <w:p w14:paraId="13060ABF" w14:textId="77777777" w:rsidR="006632DA" w:rsidRPr="006632DA" w:rsidRDefault="006632DA" w:rsidP="0023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Vacc innan grisning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D6F60F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E coli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344F06" w14:textId="7C5A6714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E coli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AA91E3" w14:textId="66A15B31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AB95A6" w14:textId="6C5ECBDC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>E coli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998AF3D" w14:textId="77777777" w:rsidR="006632DA" w:rsidRPr="006632DA" w:rsidRDefault="006632DA" w:rsidP="00230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2DA">
              <w:rPr>
                <w:rFonts w:ascii="Times New Roman" w:hAnsi="Times New Roman" w:cs="Times New Roman"/>
                <w:sz w:val="20"/>
                <w:szCs w:val="20"/>
              </w:rPr>
              <w:t xml:space="preserve">E coli, </w:t>
            </w:r>
            <w:r w:rsidRPr="00745D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APP</w:t>
            </w:r>
          </w:p>
        </w:tc>
      </w:tr>
    </w:tbl>
    <w:p w14:paraId="302DD481" w14:textId="386D9B3B" w:rsidR="002A6A30" w:rsidRPr="006632DA" w:rsidRDefault="00321B4B" w:rsidP="002A6A30">
      <w:pPr>
        <w:rPr>
          <w:rFonts w:ascii="Times New Roman" w:hAnsi="Times New Roman" w:cs="Times New Roman"/>
          <w:sz w:val="20"/>
          <w:szCs w:val="20"/>
        </w:rPr>
      </w:pPr>
      <w:r w:rsidRPr="006632DA">
        <w:rPr>
          <w:rFonts w:ascii="Times New Roman" w:hAnsi="Times New Roman" w:cs="Times New Roman"/>
          <w:sz w:val="20"/>
          <w:szCs w:val="20"/>
        </w:rPr>
        <w:t xml:space="preserve"> ¹</w:t>
      </w:r>
      <w:r w:rsidR="00745D21">
        <w:rPr>
          <w:rFonts w:ascii="Times New Roman" w:hAnsi="Times New Roman" w:cs="Times New Roman"/>
          <w:sz w:val="20"/>
          <w:szCs w:val="20"/>
        </w:rPr>
        <w:t xml:space="preserve"> </w:t>
      </w:r>
      <w:r w:rsidR="00302FCE" w:rsidRPr="006632DA">
        <w:rPr>
          <w:rFonts w:ascii="Times New Roman" w:hAnsi="Times New Roman" w:cs="Times New Roman"/>
          <w:sz w:val="20"/>
          <w:szCs w:val="20"/>
        </w:rPr>
        <w:t>=</w:t>
      </w:r>
      <w:r w:rsidR="00745D21">
        <w:rPr>
          <w:rFonts w:ascii="Times New Roman" w:hAnsi="Times New Roman" w:cs="Times New Roman"/>
          <w:sz w:val="20"/>
          <w:szCs w:val="20"/>
        </w:rPr>
        <w:t xml:space="preserve"> i ett externintegrerat system; </w:t>
      </w:r>
      <w:r w:rsidR="00745D21" w:rsidRPr="00745D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45D21">
        <w:rPr>
          <w:rFonts w:ascii="Times New Roman" w:hAnsi="Times New Roman" w:cs="Times New Roman"/>
          <w:sz w:val="20"/>
          <w:szCs w:val="20"/>
        </w:rPr>
        <w:t xml:space="preserve"> </w:t>
      </w:r>
      <w:r w:rsidR="00897A38" w:rsidRPr="006632DA">
        <w:rPr>
          <w:rFonts w:ascii="Times New Roman" w:hAnsi="Times New Roman" w:cs="Times New Roman"/>
          <w:sz w:val="20"/>
          <w:szCs w:val="20"/>
        </w:rPr>
        <w:t>= Lev</w:t>
      </w:r>
      <w:r w:rsidR="00745D21">
        <w:rPr>
          <w:rFonts w:ascii="Times New Roman" w:hAnsi="Times New Roman" w:cs="Times New Roman"/>
          <w:sz w:val="20"/>
          <w:szCs w:val="20"/>
        </w:rPr>
        <w:t>erans</w:t>
      </w:r>
      <w:r w:rsidR="00897A38" w:rsidRPr="006632DA">
        <w:rPr>
          <w:rFonts w:ascii="Times New Roman" w:hAnsi="Times New Roman" w:cs="Times New Roman"/>
          <w:sz w:val="20"/>
          <w:szCs w:val="20"/>
        </w:rPr>
        <w:t xml:space="preserve"> av </w:t>
      </w:r>
      <w:r w:rsidR="00745D21">
        <w:rPr>
          <w:rFonts w:ascii="Times New Roman" w:hAnsi="Times New Roman" w:cs="Times New Roman"/>
          <w:sz w:val="20"/>
          <w:szCs w:val="20"/>
        </w:rPr>
        <w:t xml:space="preserve">två grupper </w:t>
      </w:r>
      <w:r w:rsidR="00897A38" w:rsidRPr="006632DA">
        <w:rPr>
          <w:rFonts w:ascii="Times New Roman" w:hAnsi="Times New Roman" w:cs="Times New Roman"/>
          <w:sz w:val="20"/>
          <w:szCs w:val="20"/>
        </w:rPr>
        <w:t>samtidigt.</w:t>
      </w:r>
    </w:p>
    <w:p w14:paraId="3E77D159" w14:textId="77777777" w:rsidR="00F97CA8" w:rsidRDefault="00F97CA8">
      <w:pPr>
        <w:rPr>
          <w:rFonts w:ascii="Times New Roman" w:hAnsi="Times New Roman" w:cs="Times New Roman"/>
          <w:sz w:val="24"/>
          <w:szCs w:val="24"/>
        </w:rPr>
      </w:pPr>
    </w:p>
    <w:p w14:paraId="49C04138" w14:textId="77777777" w:rsidR="000148CC" w:rsidRPr="00711091" w:rsidRDefault="000148CC" w:rsidP="000148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Serologiska undersökningar</w:t>
      </w:r>
    </w:p>
    <w:p w14:paraId="6F92DB54" w14:textId="5D0B771E" w:rsidR="000148CC" w:rsidRPr="00D22125" w:rsidRDefault="00B37E6E" w:rsidP="00014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Blodprov utan tillsats samlades från 8-10 grisar per grupp i besättningarna 2-5 (etiskt tillstånd dnr 5.8.18-06256/</w:t>
      </w:r>
      <w:proofErr w:type="gramStart"/>
      <w:r>
        <w:rPr>
          <w:rFonts w:ascii="Times New Roman" w:hAnsi="Times New Roman" w:cs="Times New Roman"/>
          <w:sz w:val="24"/>
          <w:szCs w:val="24"/>
        </w:rPr>
        <w:t>2019:JV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148CC">
        <w:rPr>
          <w:rFonts w:ascii="Times New Roman" w:hAnsi="Times New Roman" w:cs="Times New Roman"/>
          <w:sz w:val="24"/>
          <w:szCs w:val="24"/>
        </w:rPr>
        <w:t xml:space="preserve">Serumantikroppar riktade mot </w:t>
      </w:r>
      <w:proofErr w:type="spellStart"/>
      <w:r w:rsidR="000148CC" w:rsidRPr="00745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proofErr w:type="spellEnd"/>
      <w:r w:rsidR="000148CC">
        <w:rPr>
          <w:rFonts w:ascii="Times New Roman" w:hAnsi="Times New Roman" w:cs="Times New Roman"/>
          <w:sz w:val="24"/>
          <w:szCs w:val="24"/>
        </w:rPr>
        <w:t xml:space="preserve">, </w:t>
      </w:r>
      <w:r w:rsidR="00745D21" w:rsidRPr="00745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74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21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745D21">
        <w:rPr>
          <w:rFonts w:ascii="Times New Roman" w:hAnsi="Times New Roman" w:cs="Times New Roman"/>
          <w:sz w:val="24"/>
          <w:szCs w:val="24"/>
        </w:rPr>
        <w:t xml:space="preserve"> </w:t>
      </w:r>
      <w:r w:rsidR="000148CC">
        <w:rPr>
          <w:rFonts w:ascii="Times New Roman" w:hAnsi="Times New Roman" w:cs="Times New Roman"/>
          <w:sz w:val="24"/>
          <w:szCs w:val="24"/>
        </w:rPr>
        <w:t>2</w:t>
      </w:r>
      <w:r w:rsidR="00745D21">
        <w:rPr>
          <w:rFonts w:ascii="Times New Roman" w:hAnsi="Times New Roman" w:cs="Times New Roman"/>
          <w:sz w:val="24"/>
          <w:szCs w:val="24"/>
        </w:rPr>
        <w:t xml:space="preserve"> och 3</w:t>
      </w:r>
      <w:r w:rsidR="000148CC">
        <w:rPr>
          <w:rFonts w:ascii="Times New Roman" w:hAnsi="Times New Roman" w:cs="Times New Roman"/>
          <w:sz w:val="24"/>
          <w:szCs w:val="24"/>
        </w:rPr>
        <w:t xml:space="preserve"> </w:t>
      </w:r>
      <w:r w:rsidR="00745D21">
        <w:rPr>
          <w:rFonts w:ascii="Times New Roman" w:hAnsi="Times New Roman" w:cs="Times New Roman"/>
          <w:sz w:val="24"/>
          <w:szCs w:val="24"/>
        </w:rPr>
        <w:t>samt</w:t>
      </w:r>
      <w:r w:rsidR="000148CC">
        <w:rPr>
          <w:rFonts w:ascii="Times New Roman" w:hAnsi="Times New Roman" w:cs="Times New Roman"/>
          <w:sz w:val="24"/>
          <w:szCs w:val="24"/>
        </w:rPr>
        <w:t xml:space="preserve"> </w:t>
      </w:r>
      <w:r w:rsidR="000148CC" w:rsidRPr="00745D21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 w:rsidR="000148CC">
        <w:rPr>
          <w:rFonts w:ascii="Times New Roman" w:hAnsi="Times New Roman" w:cs="Times New Roman"/>
          <w:sz w:val="24"/>
          <w:szCs w:val="24"/>
        </w:rPr>
        <w:t xml:space="preserve"> analyserades med rutinmetoder vid SVA</w:t>
      </w:r>
      <w:r>
        <w:rPr>
          <w:rFonts w:ascii="Times New Roman" w:hAnsi="Times New Roman" w:cs="Times New Roman"/>
          <w:sz w:val="24"/>
          <w:szCs w:val="24"/>
        </w:rPr>
        <w:t xml:space="preserve"> från 8 till 10 grisar per grupp</w:t>
      </w:r>
      <w:r w:rsidR="000148CC">
        <w:rPr>
          <w:rFonts w:ascii="Times New Roman" w:hAnsi="Times New Roman" w:cs="Times New Roman"/>
          <w:sz w:val="24"/>
          <w:szCs w:val="24"/>
        </w:rPr>
        <w:t>.</w:t>
      </w:r>
    </w:p>
    <w:p w14:paraId="4802A80D" w14:textId="4BCD9F36" w:rsidR="00F97CA8" w:rsidRDefault="00F97CA8">
      <w:pPr>
        <w:rPr>
          <w:rFonts w:ascii="Times New Roman" w:hAnsi="Times New Roman" w:cs="Times New Roman"/>
          <w:sz w:val="24"/>
          <w:szCs w:val="24"/>
        </w:rPr>
      </w:pPr>
    </w:p>
    <w:p w14:paraId="2A61C7A4" w14:textId="77777777" w:rsidR="009A4D47" w:rsidRDefault="009A4D47">
      <w:pPr>
        <w:rPr>
          <w:rFonts w:ascii="Times New Roman" w:hAnsi="Times New Roman" w:cs="Times New Roman"/>
          <w:sz w:val="24"/>
          <w:szCs w:val="24"/>
        </w:rPr>
      </w:pPr>
    </w:p>
    <w:p w14:paraId="0584CFE2" w14:textId="77777777" w:rsidR="00F97CA8" w:rsidRPr="00711091" w:rsidRDefault="00F97CA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Sjudomsdata </w:t>
      </w:r>
    </w:p>
    <w:p w14:paraId="1683F115" w14:textId="1BE5B36F" w:rsidR="00782000" w:rsidRDefault="00F97CA8" w:rsidP="00782000">
      <w:pPr>
        <w:rPr>
          <w:rFonts w:ascii="Times New Roman" w:hAnsi="Times New Roman" w:cs="Times New Roman"/>
          <w:sz w:val="24"/>
          <w:szCs w:val="24"/>
        </w:rPr>
      </w:pPr>
      <w:r w:rsidRPr="00982F13">
        <w:rPr>
          <w:rFonts w:ascii="Times New Roman" w:hAnsi="Times New Roman" w:cs="Times New Roman"/>
          <w:sz w:val="24"/>
          <w:szCs w:val="24"/>
        </w:rPr>
        <w:t>Sjukdomsdata avseende pleuriter</w:t>
      </w:r>
      <w:r w:rsidR="00BC7006">
        <w:rPr>
          <w:rFonts w:ascii="Times New Roman" w:hAnsi="Times New Roman" w:cs="Times New Roman"/>
          <w:sz w:val="24"/>
          <w:szCs w:val="24"/>
        </w:rPr>
        <w:t xml:space="preserve"> (kod 75/76),</w:t>
      </w:r>
      <w:r w:rsidRPr="00982F13">
        <w:rPr>
          <w:rFonts w:ascii="Times New Roman" w:hAnsi="Times New Roman" w:cs="Times New Roman"/>
          <w:sz w:val="24"/>
          <w:szCs w:val="24"/>
        </w:rPr>
        <w:t xml:space="preserve"> pneumonier</w:t>
      </w:r>
      <w:r w:rsidR="00BC7006">
        <w:rPr>
          <w:rFonts w:ascii="Times New Roman" w:hAnsi="Times New Roman" w:cs="Times New Roman"/>
          <w:sz w:val="24"/>
          <w:szCs w:val="24"/>
        </w:rPr>
        <w:t xml:space="preserve"> (kod 51/62)</w:t>
      </w:r>
      <w:r w:rsidRPr="00982F13">
        <w:rPr>
          <w:rFonts w:ascii="Times New Roman" w:hAnsi="Times New Roman" w:cs="Times New Roman"/>
          <w:sz w:val="24"/>
          <w:szCs w:val="24"/>
        </w:rPr>
        <w:t xml:space="preserve"> </w:t>
      </w:r>
      <w:r w:rsidR="00BC7006">
        <w:rPr>
          <w:rFonts w:ascii="Times New Roman" w:hAnsi="Times New Roman" w:cs="Times New Roman"/>
          <w:sz w:val="24"/>
          <w:szCs w:val="24"/>
        </w:rPr>
        <w:t xml:space="preserve">och elakartad lungsjuka (kod 71/72) </w:t>
      </w:r>
      <w:r w:rsidRPr="00982F13">
        <w:rPr>
          <w:rFonts w:ascii="Times New Roman" w:hAnsi="Times New Roman" w:cs="Times New Roman"/>
          <w:sz w:val="24"/>
          <w:szCs w:val="24"/>
        </w:rPr>
        <w:t>för slaktg</w:t>
      </w:r>
      <w:r w:rsidR="00982F13" w:rsidRPr="00982F13">
        <w:rPr>
          <w:rFonts w:ascii="Times New Roman" w:hAnsi="Times New Roman" w:cs="Times New Roman"/>
          <w:sz w:val="24"/>
          <w:szCs w:val="24"/>
        </w:rPr>
        <w:t>r</w:t>
      </w:r>
      <w:r w:rsidRPr="00982F13">
        <w:rPr>
          <w:rFonts w:ascii="Times New Roman" w:hAnsi="Times New Roman" w:cs="Times New Roman"/>
          <w:sz w:val="24"/>
          <w:szCs w:val="24"/>
        </w:rPr>
        <w:t>isar</w:t>
      </w:r>
      <w:r w:rsidR="00982F13" w:rsidRPr="00982F13">
        <w:rPr>
          <w:rFonts w:ascii="Times New Roman" w:hAnsi="Times New Roman" w:cs="Times New Roman"/>
          <w:sz w:val="24"/>
          <w:szCs w:val="24"/>
        </w:rPr>
        <w:t xml:space="preserve"> registrerades</w:t>
      </w:r>
      <w:r w:rsidR="00BC7006">
        <w:rPr>
          <w:rFonts w:ascii="Times New Roman" w:hAnsi="Times New Roman" w:cs="Times New Roman"/>
          <w:sz w:val="24"/>
          <w:szCs w:val="24"/>
        </w:rPr>
        <w:t xml:space="preserve">. Dessa </w:t>
      </w:r>
      <w:r w:rsidR="00366D95">
        <w:rPr>
          <w:rFonts w:ascii="Times New Roman" w:hAnsi="Times New Roman" w:cs="Times New Roman"/>
          <w:sz w:val="24"/>
          <w:szCs w:val="24"/>
        </w:rPr>
        <w:t xml:space="preserve">redovisas för kvartal 3 2019 </w:t>
      </w:r>
      <w:r w:rsidR="00BC7006">
        <w:rPr>
          <w:rFonts w:ascii="Times New Roman" w:hAnsi="Times New Roman" w:cs="Times New Roman"/>
          <w:sz w:val="24"/>
          <w:szCs w:val="24"/>
        </w:rPr>
        <w:t xml:space="preserve">som kontroll innan insatta åtgärder och för </w:t>
      </w:r>
      <w:r w:rsidR="00366D95">
        <w:rPr>
          <w:rFonts w:ascii="Times New Roman" w:hAnsi="Times New Roman" w:cs="Times New Roman"/>
          <w:sz w:val="24"/>
          <w:szCs w:val="24"/>
        </w:rPr>
        <w:t>kvartal 3 2020</w:t>
      </w:r>
      <w:r w:rsidR="00BC7006">
        <w:rPr>
          <w:rFonts w:ascii="Times New Roman" w:hAnsi="Times New Roman" w:cs="Times New Roman"/>
          <w:sz w:val="24"/>
          <w:szCs w:val="24"/>
        </w:rPr>
        <w:t xml:space="preserve"> efter</w:t>
      </w:r>
      <w:r w:rsidR="006B17AD">
        <w:rPr>
          <w:rFonts w:ascii="Times New Roman" w:hAnsi="Times New Roman" w:cs="Times New Roman"/>
          <w:sz w:val="24"/>
          <w:szCs w:val="24"/>
        </w:rPr>
        <w:t xml:space="preserve"> </w:t>
      </w:r>
      <w:r w:rsidR="00BC7006">
        <w:rPr>
          <w:rFonts w:ascii="Times New Roman" w:hAnsi="Times New Roman" w:cs="Times New Roman"/>
          <w:sz w:val="24"/>
          <w:szCs w:val="24"/>
        </w:rPr>
        <w:t>insatta åtgärder</w:t>
      </w:r>
      <w:r w:rsidR="00982F13">
        <w:rPr>
          <w:rFonts w:ascii="Times New Roman" w:hAnsi="Times New Roman" w:cs="Times New Roman"/>
          <w:sz w:val="24"/>
          <w:szCs w:val="24"/>
        </w:rPr>
        <w:t>.</w:t>
      </w:r>
      <w:r w:rsidR="00BC7006">
        <w:rPr>
          <w:rFonts w:ascii="Times New Roman" w:hAnsi="Times New Roman" w:cs="Times New Roman"/>
          <w:sz w:val="24"/>
          <w:szCs w:val="24"/>
        </w:rPr>
        <w:t xml:space="preserve"> </w:t>
      </w:r>
      <w:r w:rsidR="00782000">
        <w:rPr>
          <w:rFonts w:ascii="Times New Roman" w:hAnsi="Times New Roman" w:cs="Times New Roman"/>
          <w:sz w:val="24"/>
          <w:szCs w:val="24"/>
        </w:rPr>
        <w:t xml:space="preserve">De djur som </w:t>
      </w:r>
      <w:r w:rsidR="00782000" w:rsidRPr="00BC7006">
        <w:rPr>
          <w:rFonts w:ascii="Times New Roman" w:hAnsi="Times New Roman" w:cs="Times New Roman"/>
          <w:sz w:val="24"/>
          <w:szCs w:val="24"/>
        </w:rPr>
        <w:t xml:space="preserve">slaktades under kvartal 3 2020 </w:t>
      </w:r>
      <w:r w:rsidR="00366D95" w:rsidRPr="00BC7006">
        <w:rPr>
          <w:rFonts w:ascii="Times New Roman" w:hAnsi="Times New Roman" w:cs="Times New Roman"/>
          <w:sz w:val="24"/>
          <w:szCs w:val="24"/>
        </w:rPr>
        <w:t>har</w:t>
      </w:r>
      <w:r w:rsidR="00782000" w:rsidRPr="00BC7006">
        <w:rPr>
          <w:rFonts w:ascii="Times New Roman" w:hAnsi="Times New Roman" w:cs="Times New Roman"/>
          <w:sz w:val="24"/>
          <w:szCs w:val="24"/>
        </w:rPr>
        <w:t xml:space="preserve"> till största delen att varit födda </w:t>
      </w:r>
      <w:r w:rsidR="00BC7006" w:rsidRPr="00BC7006">
        <w:rPr>
          <w:rFonts w:ascii="Times New Roman" w:hAnsi="Times New Roman" w:cs="Times New Roman"/>
          <w:sz w:val="24"/>
          <w:szCs w:val="24"/>
        </w:rPr>
        <w:t>sedan</w:t>
      </w:r>
      <w:r w:rsidR="00782000" w:rsidRPr="00BC7006">
        <w:rPr>
          <w:rFonts w:ascii="Times New Roman" w:hAnsi="Times New Roman" w:cs="Times New Roman"/>
          <w:sz w:val="24"/>
          <w:szCs w:val="24"/>
        </w:rPr>
        <w:t xml:space="preserve"> </w:t>
      </w:r>
      <w:r w:rsidR="00BC7006" w:rsidRPr="00BC7006">
        <w:rPr>
          <w:rFonts w:ascii="Times New Roman" w:hAnsi="Times New Roman" w:cs="Times New Roman"/>
          <w:sz w:val="24"/>
          <w:szCs w:val="24"/>
        </w:rPr>
        <w:t xml:space="preserve">inslussningen av inköpta </w:t>
      </w:r>
      <w:r w:rsidR="00782000" w:rsidRPr="00BC7006">
        <w:rPr>
          <w:rFonts w:ascii="Times New Roman" w:hAnsi="Times New Roman" w:cs="Times New Roman"/>
          <w:sz w:val="24"/>
          <w:szCs w:val="24"/>
        </w:rPr>
        <w:t>rekryterings</w:t>
      </w:r>
      <w:r w:rsidR="00BC7006" w:rsidRPr="00BC7006">
        <w:rPr>
          <w:rFonts w:ascii="Times New Roman" w:hAnsi="Times New Roman" w:cs="Times New Roman"/>
          <w:sz w:val="24"/>
          <w:szCs w:val="24"/>
        </w:rPr>
        <w:t>djur stramats upp. Skillnader mellan de olika kvartalen defin</w:t>
      </w:r>
      <w:r w:rsidR="00BC7006">
        <w:rPr>
          <w:rFonts w:ascii="Times New Roman" w:hAnsi="Times New Roman" w:cs="Times New Roman"/>
          <w:sz w:val="24"/>
          <w:szCs w:val="24"/>
        </w:rPr>
        <w:t>i</w:t>
      </w:r>
      <w:r w:rsidR="00BC7006" w:rsidRPr="00BC7006">
        <w:rPr>
          <w:rFonts w:ascii="Times New Roman" w:hAnsi="Times New Roman" w:cs="Times New Roman"/>
          <w:sz w:val="24"/>
          <w:szCs w:val="24"/>
        </w:rPr>
        <w:t>erades med hjälp av χ</w:t>
      </w:r>
      <w:r w:rsidR="00BC7006" w:rsidRPr="00BC7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7006" w:rsidRPr="00BC7006">
        <w:rPr>
          <w:rFonts w:ascii="Times New Roman" w:hAnsi="Times New Roman" w:cs="Times New Roman"/>
          <w:sz w:val="24"/>
          <w:szCs w:val="24"/>
        </w:rPr>
        <w:t>-analyser</w:t>
      </w:r>
      <w:r w:rsidR="00BC7006">
        <w:rPr>
          <w:rFonts w:ascii="Times New Roman" w:hAnsi="Times New Roman" w:cs="Times New Roman"/>
          <w:sz w:val="24"/>
          <w:szCs w:val="24"/>
        </w:rPr>
        <w:t>.</w:t>
      </w:r>
    </w:p>
    <w:p w14:paraId="014C2387" w14:textId="2ED060D8" w:rsidR="00662F38" w:rsidRPr="00982F13" w:rsidRDefault="00493716">
      <w:pPr>
        <w:rPr>
          <w:rFonts w:ascii="Times New Roman" w:hAnsi="Times New Roman" w:cs="Times New Roman"/>
          <w:sz w:val="24"/>
          <w:szCs w:val="24"/>
        </w:rPr>
      </w:pPr>
      <w:r w:rsidRPr="00982F13">
        <w:rPr>
          <w:rFonts w:ascii="Times New Roman" w:hAnsi="Times New Roman" w:cs="Times New Roman"/>
          <w:sz w:val="24"/>
          <w:szCs w:val="24"/>
        </w:rPr>
        <w:br w:type="page"/>
      </w:r>
    </w:p>
    <w:p w14:paraId="0E2BAD4F" w14:textId="7AF80EB0" w:rsidR="004878AC" w:rsidRPr="00493716" w:rsidRDefault="004878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Resultat</w:t>
      </w:r>
    </w:p>
    <w:p w14:paraId="13BAF7AB" w14:textId="77777777" w:rsidR="00B57F58" w:rsidRDefault="00B57F58" w:rsidP="008226B6">
      <w:pPr>
        <w:rPr>
          <w:rFonts w:ascii="Times New Roman" w:hAnsi="Times New Roman" w:cs="Times New Roman"/>
          <w:sz w:val="24"/>
          <w:szCs w:val="24"/>
        </w:rPr>
      </w:pPr>
    </w:p>
    <w:p w14:paraId="5797F28B" w14:textId="6B0757AA" w:rsidR="009D17A8" w:rsidRPr="00711091" w:rsidRDefault="00B57F58" w:rsidP="008226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Serologiska undersökningar</w:t>
      </w:r>
    </w:p>
    <w:p w14:paraId="646D72E2" w14:textId="69659F1B" w:rsidR="00606DE2" w:rsidRDefault="00B82C17" w:rsidP="00984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Livdjursbesättningar i Sverige vaccinerar djuren mot </w:t>
      </w:r>
      <w:r w:rsidRPr="001F7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r>
        <w:rPr>
          <w:rFonts w:ascii="Times New Roman" w:hAnsi="Times New Roman" w:cs="Times New Roman"/>
          <w:sz w:val="24"/>
          <w:szCs w:val="24"/>
        </w:rPr>
        <w:t xml:space="preserve"> före leverans och antikroppsnivåerna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r w:rsidR="001F7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 genomgående höga i samtliga besättningar</w:t>
      </w:r>
      <w:r w:rsidR="00606DE2">
        <w:rPr>
          <w:rFonts w:ascii="Times New Roman" w:hAnsi="Times New Roman" w:cs="Times New Roman"/>
          <w:sz w:val="24"/>
          <w:szCs w:val="24"/>
        </w:rPr>
        <w:t xml:space="preserve"> som testades serologiskt (Besättning </w:t>
      </w:r>
      <w:proofErr w:type="gramStart"/>
      <w:r w:rsidR="00606DE2">
        <w:rPr>
          <w:rFonts w:ascii="Times New Roman" w:hAnsi="Times New Roman" w:cs="Times New Roman"/>
          <w:sz w:val="24"/>
          <w:szCs w:val="24"/>
        </w:rPr>
        <w:t>2-5</w:t>
      </w:r>
      <w:proofErr w:type="gramEnd"/>
      <w:r w:rsidR="00606DE2">
        <w:rPr>
          <w:rFonts w:ascii="Times New Roman" w:hAnsi="Times New Roman" w:cs="Times New Roman"/>
          <w:sz w:val="24"/>
          <w:szCs w:val="24"/>
        </w:rPr>
        <w:t>, figur 2-5)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B3B39" w14:textId="414ABC45" w:rsidR="00C25546" w:rsidRDefault="00606DE2" w:rsidP="009847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Absorbansnivåerna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82C17">
        <w:rPr>
          <w:rFonts w:ascii="Times New Roman" w:hAnsi="Times New Roman" w:cs="Times New Roman"/>
          <w:sz w:val="24"/>
          <w:szCs w:val="24"/>
        </w:rPr>
        <w:t xml:space="preserve">ot </w:t>
      </w:r>
      <w:r w:rsidR="00B37E6E" w:rsidRPr="00B37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3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6E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B37E6E">
        <w:rPr>
          <w:rFonts w:ascii="Times New Roman" w:hAnsi="Times New Roman" w:cs="Times New Roman"/>
          <w:sz w:val="24"/>
          <w:szCs w:val="24"/>
        </w:rPr>
        <w:t xml:space="preserve"> 2 och 3</w:t>
      </w:r>
      <w:r w:rsidR="00AD691F">
        <w:rPr>
          <w:rFonts w:ascii="Times New Roman" w:hAnsi="Times New Roman" w:cs="Times New Roman"/>
          <w:sz w:val="24"/>
          <w:szCs w:val="24"/>
        </w:rPr>
        <w:t xml:space="preserve"> var låga i besättning 2. </w:t>
      </w:r>
      <w:r w:rsidR="00C25546">
        <w:rPr>
          <w:rFonts w:ascii="Times New Roman" w:hAnsi="Times New Roman" w:cs="Times New Roman"/>
          <w:sz w:val="24"/>
          <w:szCs w:val="24"/>
        </w:rPr>
        <w:t xml:space="preserve">I besättning 3 var </w:t>
      </w:r>
      <w:proofErr w:type="spellStart"/>
      <w:r w:rsidR="00C25546">
        <w:rPr>
          <w:rFonts w:ascii="Times New Roman" w:hAnsi="Times New Roman" w:cs="Times New Roman"/>
          <w:sz w:val="24"/>
          <w:szCs w:val="24"/>
        </w:rPr>
        <w:t>a</w:t>
      </w:r>
      <w:r w:rsidR="00AD691F">
        <w:rPr>
          <w:rFonts w:ascii="Times New Roman" w:hAnsi="Times New Roman" w:cs="Times New Roman"/>
          <w:sz w:val="24"/>
          <w:szCs w:val="24"/>
        </w:rPr>
        <w:t>bsorbansnivåerna</w:t>
      </w:r>
      <w:proofErr w:type="spellEnd"/>
      <w:r w:rsidR="00AD691F">
        <w:rPr>
          <w:rFonts w:ascii="Times New Roman" w:hAnsi="Times New Roman" w:cs="Times New Roman"/>
          <w:sz w:val="24"/>
          <w:szCs w:val="24"/>
        </w:rPr>
        <w:t xml:space="preserve"> avseende </w:t>
      </w:r>
      <w:proofErr w:type="spellStart"/>
      <w:r w:rsidR="00B37E6E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B37E6E">
        <w:rPr>
          <w:rFonts w:ascii="Times New Roman" w:hAnsi="Times New Roman" w:cs="Times New Roman"/>
          <w:sz w:val="24"/>
          <w:szCs w:val="24"/>
        </w:rPr>
        <w:t xml:space="preserve"> 2 </w:t>
      </w:r>
      <w:r w:rsidR="00AD691F">
        <w:rPr>
          <w:rFonts w:ascii="Times New Roman" w:hAnsi="Times New Roman" w:cs="Times New Roman"/>
          <w:sz w:val="24"/>
          <w:szCs w:val="24"/>
        </w:rPr>
        <w:t>vid fem månaders ålder</w:t>
      </w:r>
      <w:r w:rsidR="00C25546">
        <w:rPr>
          <w:rFonts w:ascii="Times New Roman" w:hAnsi="Times New Roman" w:cs="Times New Roman"/>
          <w:sz w:val="24"/>
          <w:szCs w:val="24"/>
        </w:rPr>
        <w:t xml:space="preserve"> strax under gränsvärdet. Detta </w:t>
      </w:r>
      <w:r w:rsidR="00AD691F">
        <w:rPr>
          <w:rFonts w:ascii="Times New Roman" w:hAnsi="Times New Roman" w:cs="Times New Roman"/>
          <w:sz w:val="24"/>
          <w:szCs w:val="24"/>
        </w:rPr>
        <w:t>avspeglade</w:t>
      </w:r>
      <w:r w:rsidR="00707978">
        <w:rPr>
          <w:rFonts w:ascii="Times New Roman" w:hAnsi="Times New Roman" w:cs="Times New Roman"/>
          <w:sz w:val="24"/>
          <w:szCs w:val="24"/>
        </w:rPr>
        <w:t>s</w:t>
      </w:r>
      <w:r w:rsidR="00AD691F">
        <w:rPr>
          <w:rFonts w:ascii="Times New Roman" w:hAnsi="Times New Roman" w:cs="Times New Roman"/>
          <w:sz w:val="24"/>
          <w:szCs w:val="24"/>
        </w:rPr>
        <w:t xml:space="preserve"> även i besättning 4 som köpte </w:t>
      </w:r>
      <w:r w:rsidR="00C25546">
        <w:rPr>
          <w:rFonts w:ascii="Times New Roman" w:hAnsi="Times New Roman" w:cs="Times New Roman"/>
          <w:sz w:val="24"/>
          <w:szCs w:val="24"/>
        </w:rPr>
        <w:t xml:space="preserve">ovaccinerade </w:t>
      </w:r>
      <w:r w:rsidR="00AD691F">
        <w:rPr>
          <w:rFonts w:ascii="Times New Roman" w:hAnsi="Times New Roman" w:cs="Times New Roman"/>
          <w:sz w:val="24"/>
          <w:szCs w:val="24"/>
        </w:rPr>
        <w:t xml:space="preserve">livdjur från besättning 3. </w:t>
      </w:r>
      <w:r w:rsidR="00C25546">
        <w:rPr>
          <w:rFonts w:ascii="Times New Roman" w:hAnsi="Times New Roman" w:cs="Times New Roman"/>
          <w:sz w:val="24"/>
          <w:szCs w:val="24"/>
        </w:rPr>
        <w:t>Besättning 5 med en historia av pleuriter vid slakt köpte också livdjur från besättning 3</w:t>
      </w:r>
      <w:r w:rsidR="00666985">
        <w:rPr>
          <w:rFonts w:ascii="Times New Roman" w:hAnsi="Times New Roman" w:cs="Times New Roman"/>
          <w:sz w:val="24"/>
          <w:szCs w:val="24"/>
        </w:rPr>
        <w:t>.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="00666985">
        <w:rPr>
          <w:rFonts w:ascii="Times New Roman" w:hAnsi="Times New Roman" w:cs="Times New Roman"/>
          <w:sz w:val="24"/>
          <w:szCs w:val="24"/>
        </w:rPr>
        <w:t>D</w:t>
      </w:r>
      <w:r w:rsidR="00C25546">
        <w:rPr>
          <w:rFonts w:ascii="Times New Roman" w:hAnsi="Times New Roman" w:cs="Times New Roman"/>
          <w:sz w:val="24"/>
          <w:szCs w:val="24"/>
        </w:rPr>
        <w:t xml:space="preserve">essa djur </w:t>
      </w:r>
      <w:r w:rsidR="00B37E6E">
        <w:rPr>
          <w:rFonts w:ascii="Times New Roman" w:hAnsi="Times New Roman" w:cs="Times New Roman"/>
          <w:sz w:val="24"/>
          <w:szCs w:val="24"/>
        </w:rPr>
        <w:t xml:space="preserve">var obetäckta och </w:t>
      </w:r>
      <w:r w:rsidR="00666985">
        <w:rPr>
          <w:rFonts w:ascii="Times New Roman" w:hAnsi="Times New Roman" w:cs="Times New Roman"/>
          <w:sz w:val="24"/>
          <w:szCs w:val="24"/>
        </w:rPr>
        <w:t>hade innan</w:t>
      </w:r>
      <w:r w:rsidR="00707978">
        <w:rPr>
          <w:rFonts w:ascii="Times New Roman" w:hAnsi="Times New Roman" w:cs="Times New Roman"/>
          <w:sz w:val="24"/>
          <w:szCs w:val="24"/>
        </w:rPr>
        <w:t xml:space="preserve"> </w:t>
      </w:r>
      <w:r w:rsidR="00C25546">
        <w:rPr>
          <w:rFonts w:ascii="Times New Roman" w:hAnsi="Times New Roman" w:cs="Times New Roman"/>
          <w:sz w:val="24"/>
          <w:szCs w:val="24"/>
        </w:rPr>
        <w:t>leverans dubbelvaccinerats mot</w:t>
      </w:r>
      <w:r w:rsidR="00B37E6E">
        <w:rPr>
          <w:rFonts w:ascii="Times New Roman" w:hAnsi="Times New Roman" w:cs="Times New Roman"/>
          <w:sz w:val="24"/>
          <w:szCs w:val="24"/>
        </w:rPr>
        <w:t xml:space="preserve"> </w:t>
      </w:r>
      <w:r w:rsidR="00B37E6E" w:rsidRPr="00B37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3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6E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B37E6E">
        <w:rPr>
          <w:rFonts w:ascii="Times New Roman" w:hAnsi="Times New Roman" w:cs="Times New Roman"/>
          <w:sz w:val="24"/>
          <w:szCs w:val="24"/>
        </w:rPr>
        <w:t xml:space="preserve"> 2. V</w:t>
      </w:r>
      <w:r w:rsidR="00C25546">
        <w:rPr>
          <w:rFonts w:ascii="Times New Roman" w:hAnsi="Times New Roman" w:cs="Times New Roman"/>
          <w:sz w:val="24"/>
          <w:szCs w:val="24"/>
        </w:rPr>
        <w:t xml:space="preserve">id ankomsten </w:t>
      </w:r>
      <w:r w:rsidR="00B37E6E">
        <w:rPr>
          <w:rFonts w:ascii="Times New Roman" w:hAnsi="Times New Roman" w:cs="Times New Roman"/>
          <w:sz w:val="24"/>
          <w:szCs w:val="24"/>
        </w:rPr>
        <w:t xml:space="preserve">hade de </w:t>
      </w:r>
      <w:r w:rsidR="00C25546">
        <w:rPr>
          <w:rFonts w:ascii="Times New Roman" w:hAnsi="Times New Roman" w:cs="Times New Roman"/>
          <w:sz w:val="24"/>
          <w:szCs w:val="24"/>
        </w:rPr>
        <w:t xml:space="preserve">höga nivåer av antikroppar mot </w:t>
      </w:r>
      <w:r w:rsidR="00B37E6E" w:rsidRPr="00B37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3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6E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B37E6E">
        <w:rPr>
          <w:rFonts w:ascii="Times New Roman" w:hAnsi="Times New Roman" w:cs="Times New Roman"/>
          <w:sz w:val="24"/>
          <w:szCs w:val="24"/>
        </w:rPr>
        <w:t xml:space="preserve"> 2</w:t>
      </w:r>
      <w:r w:rsidR="00666985">
        <w:rPr>
          <w:rFonts w:ascii="Times New Roman" w:hAnsi="Times New Roman" w:cs="Times New Roman"/>
          <w:sz w:val="24"/>
          <w:szCs w:val="24"/>
        </w:rPr>
        <w:t>.</w:t>
      </w:r>
    </w:p>
    <w:p w14:paraId="47BABA8C" w14:textId="17BD0A9C" w:rsidR="009847DA" w:rsidRPr="00D22125" w:rsidRDefault="00AD691F" w:rsidP="00984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förekom antikroppar mot Pasteurella i samtliga besättningar, men absorbansnivåerna var inte anmärkningsvärt höga. För detaljer, se figur </w:t>
      </w:r>
      <w:proofErr w:type="gramStart"/>
      <w:r>
        <w:rPr>
          <w:rFonts w:ascii="Times New Roman" w:hAnsi="Times New Roman" w:cs="Times New Roman"/>
          <w:sz w:val="24"/>
          <w:szCs w:val="24"/>
        </w:rPr>
        <w:t>2-5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nedan.</w:t>
      </w:r>
    </w:p>
    <w:p w14:paraId="61935922" w14:textId="0768558B" w:rsidR="009847DA" w:rsidRPr="00D22125" w:rsidRDefault="00711091" w:rsidP="009847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A66141" wp14:editId="28E6C572">
            <wp:extent cx="4572000" cy="2743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AC92501-1EF0-4DE0-8C72-47E9AB970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267834" w14:textId="5E35A012" w:rsidR="009847DA" w:rsidRPr="001F74BF" w:rsidRDefault="00B72F31" w:rsidP="009847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Figur 2</w:t>
      </w:r>
      <w:r w:rsidR="005C6FE4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>Besät</w:t>
      </w:r>
      <w:r w:rsidR="004F077E" w:rsidRPr="001F74B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ning 2: Antikroppsnivåerna </w:t>
      </w:r>
      <w:r w:rsidR="001F74BF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(n = 8) 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reflektera</w:t>
      </w:r>
      <w:r w:rsidR="00C25546" w:rsidRPr="001F74BF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vaccinering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>. A</w:t>
      </w:r>
      <w:r w:rsidR="001F74BF" w:rsidRPr="001F74BF">
        <w:rPr>
          <w:rFonts w:ascii="Times New Roman" w:hAnsi="Times New Roman" w:cs="Times New Roman"/>
          <w:i/>
          <w:iCs/>
          <w:sz w:val="20"/>
          <w:szCs w:val="20"/>
        </w:rPr>
        <w:t>ntikroppsnivåerna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1F74BF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serotyp 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2 (0,25±0,06) och </w:t>
      </w:r>
      <w:r w:rsidR="001F74BF" w:rsidRPr="001F74BF">
        <w:rPr>
          <w:rFonts w:ascii="Times New Roman" w:hAnsi="Times New Roman" w:cs="Times New Roman"/>
          <w:i/>
          <w:iCs/>
          <w:sz w:val="20"/>
          <w:szCs w:val="20"/>
        </w:rPr>
        <w:t>serotyp 3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(0,26±0,17) </w:t>
      </w:r>
      <w:r w:rsidR="00666985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>låg</w:t>
      </w:r>
      <w:r w:rsidR="00666985" w:rsidRPr="001F74BF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vid ankomsten och låg kvar på samma nivå hos av</w:t>
      </w:r>
      <w:r w:rsidR="00F82C73" w:rsidRPr="001F74BF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anda gyltor som grisat in </w:t>
      </w:r>
      <w:r w:rsidR="005C6FE4" w:rsidRPr="001F74BF">
        <w:rPr>
          <w:rFonts w:ascii="Times New Roman" w:hAnsi="Times New Roman" w:cs="Times New Roman"/>
          <w:i/>
          <w:iCs/>
          <w:sz w:val="20"/>
          <w:szCs w:val="20"/>
        </w:rPr>
        <w:t>av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>skilt från reste</w:t>
      </w:r>
      <w:r w:rsidR="005C6FE4" w:rsidRPr="001F74BF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9847DA" w:rsidRPr="001F74BF">
        <w:rPr>
          <w:rFonts w:ascii="Times New Roman" w:hAnsi="Times New Roman" w:cs="Times New Roman"/>
          <w:i/>
          <w:iCs/>
          <w:sz w:val="20"/>
          <w:szCs w:val="20"/>
        </w:rPr>
        <w:t xml:space="preserve"> av besättningen.</w:t>
      </w:r>
      <w:r w:rsidR="001F74B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>Även antikroppsnivåerna</w:t>
      </w:r>
      <w:r w:rsidR="001F74B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mot Pasteurella 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>som låg kring gränsvärdet låg kvar på samma nivå över tid.</w:t>
      </w:r>
    </w:p>
    <w:p w14:paraId="27AD8B03" w14:textId="77777777" w:rsidR="009847DA" w:rsidRPr="00D22125" w:rsidRDefault="009847DA" w:rsidP="008226B6">
      <w:pPr>
        <w:rPr>
          <w:rFonts w:ascii="Times New Roman" w:hAnsi="Times New Roman" w:cs="Times New Roman"/>
          <w:sz w:val="24"/>
          <w:szCs w:val="24"/>
        </w:rPr>
      </w:pPr>
    </w:p>
    <w:p w14:paraId="5F2DCAE0" w14:textId="250B89D2" w:rsidR="009D17A8" w:rsidRPr="00D22125" w:rsidRDefault="00711091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1DA4E2" wp14:editId="6D0AE02E">
            <wp:extent cx="4572000" cy="274320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AB780BF8-A0F5-46F9-A018-2DA5B38064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F22CF4" w14:textId="2CCD5D2E" w:rsidR="009D17A8" w:rsidRPr="00366D95" w:rsidRDefault="00F82C73" w:rsidP="009D17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66D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Figur 3</w:t>
      </w:r>
      <w:r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56905" w:rsidRPr="00366D95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edelabsorbanser för försäljningsfärdiga gyltor</w:t>
      </w:r>
      <w:r w:rsidR="00C2554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 xml:space="preserve">(n= = X) </w:t>
      </w:r>
      <w:r w:rsidR="00D5690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vid fem månaders ålder </w:t>
      </w:r>
      <w:r w:rsidR="00C25546" w:rsidRPr="00366D95">
        <w:rPr>
          <w:rFonts w:ascii="Times New Roman" w:hAnsi="Times New Roman" w:cs="Times New Roman"/>
          <w:i/>
          <w:iCs/>
          <w:sz w:val="20"/>
          <w:szCs w:val="20"/>
        </w:rPr>
        <w:t>i besättning 3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De höga Ak-nivåerna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indikera</w:t>
      </w:r>
      <w:r w:rsidR="00C25546" w:rsidRPr="00366D95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vaccination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Medelabsorbansen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 xml:space="preserve"> serotyp 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2 </w:t>
      </w:r>
      <w:r w:rsidR="00C2554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0,48±0,28 med fyra grisar över gränsvärdet 0,5 och övriga sa</w:t>
      </w:r>
      <w:r w:rsidR="001048A4" w:rsidRPr="00366D95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nolikt på väg att serokonvertera. Samtliga gyltor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seron</w:t>
      </w:r>
      <w:r w:rsidR="001048A4" w:rsidRPr="00366D95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gativa mot </w:t>
      </w:r>
      <w:r w:rsidR="001F74BF" w:rsidRPr="001F74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 xml:space="preserve"> serotyp 3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, men sannolikt på väg att serokonvertera.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1F74BF">
        <w:rPr>
          <w:rFonts w:ascii="Times New Roman" w:hAnsi="Times New Roman" w:cs="Times New Roman"/>
          <w:i/>
          <w:iCs/>
          <w:sz w:val="20"/>
          <w:szCs w:val="20"/>
        </w:rPr>
        <w:t>ntikroppsnivåerna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mot Pasteurella </w:t>
      </w:r>
      <w:r w:rsidR="00C2554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>relativt höga, men betydelsen av detta är oklar</w:t>
      </w:r>
      <w:r w:rsidR="00FF60FE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E77B438" w14:textId="77777777" w:rsidR="00FF60FE" w:rsidRPr="00D22125" w:rsidRDefault="00FF60FE" w:rsidP="009D1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A98E6" w14:textId="4EE465C9" w:rsidR="009D17A8" w:rsidRPr="00D22125" w:rsidRDefault="00711091" w:rsidP="009D17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71459B" wp14:editId="5246467C">
            <wp:extent cx="4572000" cy="274320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56A9361E-C6E3-4E85-A809-BA671A1680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86BEF6" w14:textId="7B272670" w:rsidR="00585C6D" w:rsidRPr="00366D95" w:rsidRDefault="00E521B7" w:rsidP="009D17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66D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Figur 4</w:t>
      </w:r>
      <w:r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Det serologiska mönstret vid ankomst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>i besättning 4 stämde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F60FE" w:rsidRPr="00366D95">
        <w:rPr>
          <w:rFonts w:ascii="Times New Roman" w:hAnsi="Times New Roman" w:cs="Times New Roman"/>
          <w:i/>
          <w:iCs/>
          <w:sz w:val="20"/>
          <w:szCs w:val="20"/>
        </w:rPr>
        <w:t>ö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verens med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den serolog</w:t>
      </w:r>
      <w:r w:rsidR="00FF60FE" w:rsidRPr="00366D95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ska profilen hos försäljningsfärdiga djur hos </w:t>
      </w:r>
      <w:r w:rsidR="00E827FB" w:rsidRPr="00366D95">
        <w:rPr>
          <w:rFonts w:ascii="Times New Roman" w:hAnsi="Times New Roman" w:cs="Times New Roman"/>
          <w:i/>
          <w:iCs/>
          <w:sz w:val="20"/>
          <w:szCs w:val="20"/>
        </w:rPr>
        <w:t>besättning 3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(se figur 3)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Den h</w:t>
      </w:r>
      <w:r w:rsidR="00431665" w:rsidRPr="00366D95">
        <w:rPr>
          <w:rFonts w:ascii="Times New Roman" w:hAnsi="Times New Roman" w:cs="Times New Roman"/>
          <w:i/>
          <w:iCs/>
          <w:sz w:val="20"/>
          <w:szCs w:val="20"/>
        </w:rPr>
        <w:t>öga nivån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av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antikroppar</w:t>
      </w:r>
      <w:r w:rsidR="009D17A8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vid ankomsten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återspeglade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att djuren vaccinerats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Denna nivå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sjönk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fram till dräktighetskontr</w:t>
      </w:r>
      <w:r w:rsidR="001048A4" w:rsidRPr="00366D95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llen, men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steg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sedan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Detta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antyd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att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43166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finns </w:t>
      </w:r>
      <w:r w:rsidR="00975B54" w:rsidRPr="00366D95">
        <w:rPr>
          <w:rFonts w:ascii="Times New Roman" w:hAnsi="Times New Roman" w:cs="Times New Roman"/>
          <w:i/>
          <w:iCs/>
          <w:sz w:val="20"/>
          <w:szCs w:val="20"/>
        </w:rPr>
        <w:t>i besättnin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gen, men b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etydelsen av detta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sannolikt låg eftersom pneumoni inte registrera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s vid slakt i besättningen.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Ak-nivåerna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serotyp 2 och 3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vid ankomst i paritet med vad som noterats hos försäljningsdjur hos </w:t>
      </w:r>
      <w:r w:rsidR="000B7A8F" w:rsidRPr="00366D95">
        <w:rPr>
          <w:rFonts w:ascii="Times New Roman" w:hAnsi="Times New Roman" w:cs="Times New Roman"/>
          <w:i/>
          <w:iCs/>
          <w:sz w:val="20"/>
          <w:szCs w:val="20"/>
        </w:rPr>
        <w:t>besättning 3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(0,35±0,11 respektive 0,36±0,20). Nivå</w:t>
      </w:r>
      <w:r w:rsidR="00FF60FE" w:rsidRPr="00366D95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rna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låg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still fram till dräktighetskontrollen, men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steg därefter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något avseende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serotyp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2 (0,58±0,23) och högre avseende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serotyp 3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(0,88±0,50). App3 är dock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i Sverige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sällan förknippad med kliniska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luftvägs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problem och andelen pleuriter som registreras vid slakt hos </w:t>
      </w:r>
      <w:r w:rsidR="00EE36BC" w:rsidRPr="00366D95">
        <w:rPr>
          <w:rFonts w:ascii="Times New Roman" w:hAnsi="Times New Roman" w:cs="Times New Roman"/>
          <w:i/>
          <w:iCs/>
          <w:sz w:val="20"/>
          <w:szCs w:val="20"/>
        </w:rPr>
        <w:t>besättning 4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>&lt;10%.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66D9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Antikroppsnivåerna mot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asteurella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>var</w:t>
      </w:r>
      <w:r w:rsidR="007A4776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0,60±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0,32 vid ankomst och </w:t>
      </w:r>
      <w:r w:rsidR="0061646F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låg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>därefter kvar på den nivån</w:t>
      </w:r>
      <w:r w:rsidR="00FF60FE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58D096F" w14:textId="77777777" w:rsidR="00FF60FE" w:rsidRPr="00D22125" w:rsidRDefault="00FF60FE" w:rsidP="008A54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6E7E2" w14:textId="39FA0674" w:rsidR="009D17A8" w:rsidRPr="00D22125" w:rsidRDefault="008A541B" w:rsidP="009D17A8">
      <w:pPr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Besättning </w:t>
      </w:r>
      <w:r w:rsidR="00A8444E">
        <w:rPr>
          <w:rFonts w:ascii="Times New Roman" w:hAnsi="Times New Roman" w:cs="Times New Roman"/>
          <w:sz w:val="24"/>
          <w:szCs w:val="24"/>
        </w:rPr>
        <w:t>5</w:t>
      </w:r>
      <w:r w:rsidRPr="00D22125">
        <w:rPr>
          <w:rFonts w:ascii="Times New Roman" w:hAnsi="Times New Roman" w:cs="Times New Roman"/>
          <w:sz w:val="24"/>
          <w:szCs w:val="24"/>
        </w:rPr>
        <w:t xml:space="preserve">, köper gyltor från </w:t>
      </w:r>
      <w:r w:rsidR="00A8444E">
        <w:rPr>
          <w:rFonts w:ascii="Times New Roman" w:hAnsi="Times New Roman" w:cs="Times New Roman"/>
          <w:sz w:val="24"/>
          <w:szCs w:val="24"/>
        </w:rPr>
        <w:t>besättning 3</w:t>
      </w:r>
      <w:r w:rsidRPr="00D22125">
        <w:rPr>
          <w:rFonts w:ascii="Times New Roman" w:hAnsi="Times New Roman" w:cs="Times New Roman"/>
          <w:sz w:val="24"/>
          <w:szCs w:val="24"/>
        </w:rPr>
        <w:t xml:space="preserve">. Gyltorna har dessförinnan vaccinerats mot </w:t>
      </w:r>
      <w:r w:rsidR="00B37E6E" w:rsidRPr="00B37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B37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6E">
        <w:rPr>
          <w:rFonts w:ascii="Times New Roman" w:hAnsi="Times New Roman" w:cs="Times New Roman"/>
          <w:sz w:val="24"/>
          <w:szCs w:val="24"/>
        </w:rPr>
        <w:t>serotyp</w:t>
      </w:r>
      <w:proofErr w:type="spellEnd"/>
      <w:r w:rsidR="00B37E6E">
        <w:rPr>
          <w:rFonts w:ascii="Times New Roman" w:hAnsi="Times New Roman" w:cs="Times New Roman"/>
          <w:sz w:val="24"/>
          <w:szCs w:val="24"/>
        </w:rPr>
        <w:t xml:space="preserve"> 2</w:t>
      </w:r>
      <w:r w:rsidRPr="00D22125">
        <w:rPr>
          <w:rFonts w:ascii="Times New Roman" w:hAnsi="Times New Roman" w:cs="Times New Roman"/>
          <w:sz w:val="24"/>
          <w:szCs w:val="24"/>
        </w:rPr>
        <w:t xml:space="preserve"> två gånger</w:t>
      </w:r>
      <w:r w:rsidR="00A8444E">
        <w:rPr>
          <w:rFonts w:ascii="Times New Roman" w:hAnsi="Times New Roman" w:cs="Times New Roman"/>
          <w:sz w:val="24"/>
          <w:szCs w:val="24"/>
        </w:rPr>
        <w:t>.</w:t>
      </w:r>
    </w:p>
    <w:p w14:paraId="6EE59A64" w14:textId="0BB0845A" w:rsidR="00EF7378" w:rsidRDefault="00711091" w:rsidP="008A54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C209F0" wp14:editId="55473C72">
            <wp:extent cx="4572000" cy="2743200"/>
            <wp:effectExtent l="0" t="0" r="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FA2DF44F-B4F3-4651-904E-603B78C6A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FF9FBC" w14:textId="64E3E414" w:rsidR="00585C6D" w:rsidRPr="00366D95" w:rsidRDefault="0054627E" w:rsidP="00585C6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66D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Figur 5</w:t>
      </w:r>
      <w:r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0C110C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Besättning 5: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Antikroppsnivåerna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låg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som i besättning </w:t>
      </w:r>
      <w:r w:rsidR="0079280D" w:rsidRPr="00366D95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(se figur 3)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och reflekter</w:t>
      </w:r>
      <w:r w:rsidR="00165403" w:rsidRPr="00366D9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vaccinering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Mhyo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66D95" w:rsidRPr="00366D9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Antikroppsnivåerna mot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serotyp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2 hos de nyanlända djuren 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var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>mycket höga (1,59±0,48), vilket bedöms återspegla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att närvaron av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serotyp 2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i </w:t>
      </w:r>
      <w:r w:rsidR="00AA354F" w:rsidRPr="00366D95">
        <w:rPr>
          <w:rFonts w:ascii="Times New Roman" w:hAnsi="Times New Roman" w:cs="Times New Roman"/>
          <w:i/>
          <w:iCs/>
          <w:sz w:val="20"/>
          <w:szCs w:val="20"/>
        </w:rPr>
        <w:t>besättning 3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6698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se figur 3)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>förstärkts av vaccineringarna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innan försäljning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791BB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id provtagningen 6 veckor efter ankomst </w:t>
      </w:r>
      <w:r w:rsidR="00680A5F">
        <w:rPr>
          <w:rFonts w:ascii="Times New Roman" w:hAnsi="Times New Roman" w:cs="Times New Roman"/>
          <w:i/>
          <w:iCs/>
          <w:sz w:val="20"/>
          <w:szCs w:val="20"/>
        </w:rPr>
        <w:t xml:space="preserve">då 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hade</w:t>
      </w:r>
      <w:r w:rsidR="00791BB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gyltorna håll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791BB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 separat 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från övriga bes</w:t>
      </w:r>
      <w:r w:rsidR="00680A5F">
        <w:rPr>
          <w:rFonts w:ascii="Times New Roman" w:hAnsi="Times New Roman" w:cs="Times New Roman"/>
          <w:i/>
          <w:iCs/>
          <w:sz w:val="20"/>
          <w:szCs w:val="20"/>
        </w:rPr>
        <w:t>ä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 xml:space="preserve">ttningen </w:t>
      </w:r>
      <w:r w:rsidR="00791BB5" w:rsidRPr="00366D95">
        <w:rPr>
          <w:rFonts w:ascii="Times New Roman" w:hAnsi="Times New Roman" w:cs="Times New Roman"/>
          <w:i/>
          <w:iCs/>
          <w:sz w:val="20"/>
          <w:szCs w:val="20"/>
        </w:rPr>
        <w:t>med undantag för några få suggor</w:t>
      </w:r>
      <w:r w:rsidR="00680A5F">
        <w:rPr>
          <w:rFonts w:ascii="Times New Roman" w:hAnsi="Times New Roman" w:cs="Times New Roman"/>
          <w:i/>
          <w:iCs/>
          <w:sz w:val="20"/>
          <w:szCs w:val="20"/>
        </w:rPr>
        <w:t xml:space="preserve"> hade antikroppsnivåerna sjunkit</w:t>
      </w:r>
      <w:r w:rsidR="00791BB5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 H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öga Ak-nivåer mot </w:t>
      </w:r>
      <w:r w:rsidR="00C16832" w:rsidRPr="00C168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serotyp 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2 (1,67±0,59) 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sågs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>återigen d</w:t>
      </w:r>
      <w:r w:rsidR="00680A5F">
        <w:rPr>
          <w:rFonts w:ascii="Times New Roman" w:hAnsi="Times New Roman" w:cs="Times New Roman"/>
          <w:i/>
          <w:iCs/>
          <w:sz w:val="20"/>
          <w:szCs w:val="20"/>
        </w:rPr>
        <w:t>å</w:t>
      </w:r>
      <w:r w:rsidR="008A541B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djuren varit 18 veckor </w:t>
      </w:r>
      <w:r w:rsidR="001C7324" w:rsidRPr="00366D95">
        <w:rPr>
          <w:rFonts w:ascii="Times New Roman" w:hAnsi="Times New Roman" w:cs="Times New Roman"/>
          <w:i/>
          <w:iCs/>
          <w:sz w:val="20"/>
          <w:szCs w:val="20"/>
        </w:rPr>
        <w:t>i besättning</w:t>
      </w:r>
      <w:r w:rsidR="0003089F" w:rsidRPr="00366D95">
        <w:rPr>
          <w:rFonts w:ascii="Times New Roman" w:hAnsi="Times New Roman" w:cs="Times New Roman"/>
          <w:i/>
          <w:iCs/>
          <w:sz w:val="20"/>
          <w:szCs w:val="20"/>
        </w:rPr>
        <w:t>en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168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Då befann sig gyltorna i 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en stor sinavdelning där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>ha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ft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noskontakt med äldre suggor 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och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91BB5">
        <w:rPr>
          <w:rFonts w:ascii="Times New Roman" w:hAnsi="Times New Roman" w:cs="Times New Roman"/>
          <w:i/>
          <w:iCs/>
          <w:sz w:val="20"/>
          <w:szCs w:val="20"/>
        </w:rPr>
        <w:t>då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kan 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ha </w:t>
      </w:r>
      <w:r w:rsidR="00431665" w:rsidRPr="00366D95">
        <w:rPr>
          <w:rFonts w:ascii="Times New Roman" w:hAnsi="Times New Roman" w:cs="Times New Roman"/>
          <w:i/>
          <w:iCs/>
          <w:sz w:val="20"/>
          <w:szCs w:val="20"/>
        </w:rPr>
        <w:t>utsatts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för </w:t>
      </w:r>
      <w:r w:rsidR="00431665" w:rsidRPr="004316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431665">
        <w:rPr>
          <w:rFonts w:ascii="Times New Roman" w:hAnsi="Times New Roman" w:cs="Times New Roman"/>
          <w:i/>
          <w:iCs/>
          <w:sz w:val="20"/>
          <w:szCs w:val="20"/>
        </w:rPr>
        <w:t xml:space="preserve"> serotyp 2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och andra smittor. Gyltorna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som snart skulle grisa 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>boos</w:t>
      </w:r>
      <w:r w:rsidR="00165403" w:rsidRPr="00366D95">
        <w:rPr>
          <w:rFonts w:ascii="Times New Roman" w:hAnsi="Times New Roman" w:cs="Times New Roman"/>
          <w:i/>
          <w:iCs/>
          <w:sz w:val="20"/>
          <w:szCs w:val="20"/>
        </w:rPr>
        <w:t>tr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701D99" w:rsidRPr="00366D95">
        <w:rPr>
          <w:rFonts w:ascii="Times New Roman" w:hAnsi="Times New Roman" w:cs="Times New Roman"/>
          <w:i/>
          <w:iCs/>
          <w:sz w:val="20"/>
          <w:szCs w:val="20"/>
        </w:rPr>
        <w:t>de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s även med ny vaccination mot </w:t>
      </w:r>
      <w:r w:rsidR="003F5FAA" w:rsidRPr="00DC67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</w:t>
      </w:r>
      <w:r w:rsidR="003F5FAA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inför grisning. Dock är det oklart om provtagna gyltor redan var revaccinerade vid 18v-provtagningen</w:t>
      </w:r>
      <w:r w:rsidR="00366D95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66D95" w:rsidRPr="00366D9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Avseende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APP serotyp 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3 </w:t>
      </w:r>
      <w:r w:rsidR="0066698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liknade 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>absorban</w:t>
      </w:r>
      <w:r w:rsidR="00666985" w:rsidRPr="00366D95">
        <w:rPr>
          <w:rFonts w:ascii="Times New Roman" w:hAnsi="Times New Roman" w:cs="Times New Roman"/>
          <w:i/>
          <w:iCs/>
          <w:sz w:val="20"/>
          <w:szCs w:val="20"/>
        </w:rPr>
        <w:t>snivåerna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över tid i princip den som uppmätts i besättning </w:t>
      </w:r>
      <w:r w:rsidR="00F60079" w:rsidRPr="00366D95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 xml:space="preserve">(se figur 4) 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och även här bedöms den måttliga </w:t>
      </w:r>
      <w:r w:rsidR="00666985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antikroppsökningen </w:t>
      </w:r>
      <w:r w:rsidR="00366D95" w:rsidRPr="00366D95">
        <w:rPr>
          <w:rFonts w:ascii="Times New Roman" w:hAnsi="Times New Roman" w:cs="Times New Roman"/>
          <w:i/>
          <w:iCs/>
          <w:sz w:val="20"/>
          <w:szCs w:val="20"/>
        </w:rPr>
        <w:t>ha saknat</w:t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klinisk relevans</w:t>
      </w:r>
      <w:r w:rsidR="00E63EAE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66D95" w:rsidRPr="00366D95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585C6D" w:rsidRPr="00366D95">
        <w:rPr>
          <w:rFonts w:ascii="Times New Roman" w:hAnsi="Times New Roman" w:cs="Times New Roman"/>
          <w:i/>
          <w:iCs/>
          <w:sz w:val="20"/>
          <w:szCs w:val="20"/>
        </w:rPr>
        <w:t>Antikroppsnivåerna mot</w:t>
      </w:r>
      <w:r w:rsidR="00DC67C4" w:rsidRPr="00366D95">
        <w:rPr>
          <w:rFonts w:ascii="Times New Roman" w:hAnsi="Times New Roman" w:cs="Times New Roman"/>
          <w:i/>
          <w:iCs/>
          <w:sz w:val="20"/>
          <w:szCs w:val="20"/>
        </w:rPr>
        <w:t xml:space="preserve"> Pasteurella </w:t>
      </w:r>
      <w:r w:rsidR="00DC67C4">
        <w:rPr>
          <w:rFonts w:ascii="Times New Roman" w:hAnsi="Times New Roman" w:cs="Times New Roman"/>
          <w:i/>
          <w:iCs/>
          <w:sz w:val="20"/>
          <w:szCs w:val="20"/>
        </w:rPr>
        <w:t>låg kring gränsvärdet vid ankomst och låg kvar på den nivån över tid</w:t>
      </w:r>
      <w:r w:rsidR="0016037E" w:rsidRPr="00366D9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DD86E9F" w14:textId="77777777" w:rsidR="00165403" w:rsidRDefault="00165403" w:rsidP="000148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2DAFEB" w14:textId="47DEEA89" w:rsidR="000148CC" w:rsidRPr="00711091" w:rsidRDefault="000148CC" w:rsidP="00014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Sjudomsdata registrerade i samband med slakt</w:t>
      </w:r>
    </w:p>
    <w:p w14:paraId="618F7CAD" w14:textId="493ECFF2" w:rsidR="00712CCC" w:rsidRDefault="000148CC" w:rsidP="0070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Sjukdomsregistreringarna för luftvägssjukdomar avseende slaktgrisar vid slakt för kvartal </w:t>
      </w:r>
      <w:r w:rsidR="00366D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95">
        <w:rPr>
          <w:rFonts w:ascii="Times New Roman" w:hAnsi="Times New Roman" w:cs="Times New Roman"/>
          <w:sz w:val="24"/>
          <w:szCs w:val="24"/>
        </w:rPr>
        <w:t>för år 2019 (kontroll)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06">
        <w:rPr>
          <w:rFonts w:ascii="Times New Roman" w:hAnsi="Times New Roman" w:cs="Times New Roman"/>
          <w:sz w:val="24"/>
          <w:szCs w:val="24"/>
        </w:rPr>
        <w:t xml:space="preserve">kvartal 3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DC67C4">
        <w:rPr>
          <w:rFonts w:ascii="Times New Roman" w:hAnsi="Times New Roman" w:cs="Times New Roman"/>
          <w:sz w:val="24"/>
          <w:szCs w:val="24"/>
        </w:rPr>
        <w:t xml:space="preserve">(försöket) </w:t>
      </w:r>
      <w:r>
        <w:rPr>
          <w:rFonts w:ascii="Times New Roman" w:hAnsi="Times New Roman" w:cs="Times New Roman"/>
          <w:sz w:val="24"/>
          <w:szCs w:val="24"/>
        </w:rPr>
        <w:t xml:space="preserve">visas i tabell </w:t>
      </w:r>
      <w:r w:rsidR="00BC7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Andelen pleuriter som registrerades sjönk </w:t>
      </w:r>
      <w:r w:rsidR="00366D95">
        <w:rPr>
          <w:rFonts w:ascii="Times New Roman" w:hAnsi="Times New Roman" w:cs="Times New Roman"/>
          <w:sz w:val="24"/>
          <w:szCs w:val="24"/>
        </w:rPr>
        <w:t xml:space="preserve">numeriskt i alla fyra besättningar som </w:t>
      </w:r>
      <w:r w:rsidR="00BC7006">
        <w:rPr>
          <w:rFonts w:ascii="Times New Roman" w:hAnsi="Times New Roman" w:cs="Times New Roman"/>
          <w:sz w:val="24"/>
          <w:szCs w:val="24"/>
        </w:rPr>
        <w:t>sände djur till slakt. Denna minskning var signifikant (</w:t>
      </w:r>
      <w:proofErr w:type="gramStart"/>
      <w:r w:rsidR="00BC7006">
        <w:rPr>
          <w:rFonts w:ascii="Times New Roman" w:hAnsi="Times New Roman" w:cs="Times New Roman"/>
          <w:sz w:val="24"/>
          <w:szCs w:val="24"/>
        </w:rPr>
        <w:t>p&lt;</w:t>
      </w:r>
      <w:proofErr w:type="gramEnd"/>
      <w:r w:rsidR="00BC7006">
        <w:rPr>
          <w:rFonts w:ascii="Times New Roman" w:hAnsi="Times New Roman" w:cs="Times New Roman"/>
          <w:sz w:val="24"/>
          <w:szCs w:val="24"/>
        </w:rPr>
        <w:t xml:space="preserve">0.001) även i besättning 1 som tillämpat sitt rekryteringssystem sedan </w:t>
      </w:r>
      <w:r w:rsidR="00DC67C4">
        <w:rPr>
          <w:rFonts w:ascii="Times New Roman" w:hAnsi="Times New Roman" w:cs="Times New Roman"/>
          <w:sz w:val="24"/>
          <w:szCs w:val="24"/>
        </w:rPr>
        <w:t>tidigare</w:t>
      </w:r>
      <w:r w:rsidR="00BC7006">
        <w:rPr>
          <w:rFonts w:ascii="Times New Roman" w:hAnsi="Times New Roman" w:cs="Times New Roman"/>
          <w:sz w:val="24"/>
          <w:szCs w:val="24"/>
        </w:rPr>
        <w:t xml:space="preserve">. </w:t>
      </w:r>
      <w:r w:rsidR="00701D99" w:rsidRPr="00D22125">
        <w:rPr>
          <w:rFonts w:ascii="Times New Roman" w:hAnsi="Times New Roman" w:cs="Times New Roman"/>
          <w:sz w:val="24"/>
          <w:szCs w:val="24"/>
        </w:rPr>
        <w:t xml:space="preserve">Andelen registrerade pleuriter i besättning </w:t>
      </w:r>
      <w:r w:rsidR="00701D99">
        <w:rPr>
          <w:rFonts w:ascii="Times New Roman" w:hAnsi="Times New Roman" w:cs="Times New Roman"/>
          <w:sz w:val="24"/>
          <w:szCs w:val="24"/>
        </w:rPr>
        <w:t>5</w:t>
      </w:r>
      <w:r w:rsidR="00701D99" w:rsidRPr="00D22125">
        <w:rPr>
          <w:rFonts w:ascii="Times New Roman" w:hAnsi="Times New Roman" w:cs="Times New Roman"/>
          <w:sz w:val="24"/>
          <w:szCs w:val="24"/>
        </w:rPr>
        <w:t xml:space="preserve"> </w:t>
      </w:r>
      <w:r w:rsidR="00BC7006">
        <w:rPr>
          <w:rFonts w:ascii="Times New Roman" w:hAnsi="Times New Roman" w:cs="Times New Roman"/>
          <w:sz w:val="24"/>
          <w:szCs w:val="24"/>
        </w:rPr>
        <w:t xml:space="preserve">som </w:t>
      </w:r>
      <w:r w:rsidR="00DC67C4">
        <w:rPr>
          <w:rFonts w:ascii="Times New Roman" w:hAnsi="Times New Roman" w:cs="Times New Roman"/>
          <w:sz w:val="24"/>
          <w:szCs w:val="24"/>
        </w:rPr>
        <w:t xml:space="preserve">kvartal 3 </w:t>
      </w:r>
      <w:r w:rsidR="00BC7006">
        <w:rPr>
          <w:rFonts w:ascii="Times New Roman" w:hAnsi="Times New Roman" w:cs="Times New Roman"/>
          <w:sz w:val="24"/>
          <w:szCs w:val="24"/>
        </w:rPr>
        <w:t xml:space="preserve">2019 hade en mycket hög frekvens pleuriter vid slakt </w:t>
      </w:r>
      <w:r w:rsidR="00DC67C4">
        <w:rPr>
          <w:rFonts w:ascii="Times New Roman" w:hAnsi="Times New Roman" w:cs="Times New Roman"/>
          <w:sz w:val="24"/>
          <w:szCs w:val="24"/>
        </w:rPr>
        <w:t xml:space="preserve">hade </w:t>
      </w:r>
      <w:r w:rsidR="00712CCC" w:rsidRPr="00D22125">
        <w:rPr>
          <w:rFonts w:ascii="Times New Roman" w:hAnsi="Times New Roman" w:cs="Times New Roman"/>
          <w:sz w:val="24"/>
          <w:szCs w:val="24"/>
        </w:rPr>
        <w:t>under det tredje kvartalet 2020</w:t>
      </w:r>
      <w:r w:rsidR="00712CCC">
        <w:rPr>
          <w:rFonts w:ascii="Times New Roman" w:hAnsi="Times New Roman" w:cs="Times New Roman"/>
          <w:sz w:val="24"/>
          <w:szCs w:val="24"/>
        </w:rPr>
        <w:t xml:space="preserve"> </w:t>
      </w:r>
      <w:r w:rsidR="00DC67C4">
        <w:rPr>
          <w:rFonts w:ascii="Times New Roman" w:hAnsi="Times New Roman" w:cs="Times New Roman"/>
          <w:sz w:val="24"/>
          <w:szCs w:val="24"/>
        </w:rPr>
        <w:t>minskat</w:t>
      </w:r>
      <w:r w:rsidR="00712CCC">
        <w:rPr>
          <w:rFonts w:ascii="Times New Roman" w:hAnsi="Times New Roman" w:cs="Times New Roman"/>
          <w:sz w:val="24"/>
          <w:szCs w:val="24"/>
        </w:rPr>
        <w:t xml:space="preserve"> </w:t>
      </w:r>
      <w:r w:rsidR="00701D99" w:rsidRPr="00D22125">
        <w:rPr>
          <w:rFonts w:ascii="Times New Roman" w:hAnsi="Times New Roman" w:cs="Times New Roman"/>
          <w:sz w:val="24"/>
          <w:szCs w:val="24"/>
        </w:rPr>
        <w:t xml:space="preserve">signifikant </w:t>
      </w:r>
      <w:r w:rsidR="00BC70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7006">
        <w:rPr>
          <w:rFonts w:ascii="Times New Roman" w:hAnsi="Times New Roman" w:cs="Times New Roman"/>
          <w:sz w:val="24"/>
          <w:szCs w:val="24"/>
        </w:rPr>
        <w:t>p&lt;</w:t>
      </w:r>
      <w:proofErr w:type="gramEnd"/>
      <w:r w:rsidR="00BC7006">
        <w:rPr>
          <w:rFonts w:ascii="Times New Roman" w:hAnsi="Times New Roman" w:cs="Times New Roman"/>
          <w:sz w:val="24"/>
          <w:szCs w:val="24"/>
        </w:rPr>
        <w:t>0.001)</w:t>
      </w:r>
      <w:r w:rsidR="00712CCC">
        <w:rPr>
          <w:rFonts w:ascii="Times New Roman" w:hAnsi="Times New Roman" w:cs="Times New Roman"/>
          <w:sz w:val="24"/>
          <w:szCs w:val="24"/>
        </w:rPr>
        <w:t xml:space="preserve"> lägre nivå</w:t>
      </w:r>
      <w:r w:rsidR="00701D99" w:rsidRPr="00D22125">
        <w:rPr>
          <w:rFonts w:ascii="Times New Roman" w:hAnsi="Times New Roman" w:cs="Times New Roman"/>
          <w:sz w:val="24"/>
          <w:szCs w:val="24"/>
        </w:rPr>
        <w:t xml:space="preserve">, vilket sammanföll med att man slutade att sortera och flytta om grisar </w:t>
      </w:r>
      <w:r w:rsidR="00701D99">
        <w:rPr>
          <w:rFonts w:ascii="Times New Roman" w:hAnsi="Times New Roman" w:cs="Times New Roman"/>
          <w:sz w:val="24"/>
          <w:szCs w:val="24"/>
        </w:rPr>
        <w:t xml:space="preserve">både i BB och tillväxten </w:t>
      </w:r>
      <w:r w:rsidR="00701D99" w:rsidRPr="00D22125">
        <w:rPr>
          <w:rFonts w:ascii="Times New Roman" w:hAnsi="Times New Roman" w:cs="Times New Roman"/>
          <w:sz w:val="24"/>
          <w:szCs w:val="24"/>
        </w:rPr>
        <w:t>under uppfödningen.</w:t>
      </w:r>
    </w:p>
    <w:p w14:paraId="67924447" w14:textId="79DD80C8" w:rsidR="00712CCC" w:rsidRDefault="0071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kvartal 3 2020 varierade frekvensen registrerade pleuriter mellan 1,8 och 4,7% </w:t>
      </w:r>
      <w:r w:rsidR="00DC67C4">
        <w:rPr>
          <w:rFonts w:ascii="Times New Roman" w:hAnsi="Times New Roman" w:cs="Times New Roman"/>
          <w:sz w:val="24"/>
          <w:szCs w:val="24"/>
        </w:rPr>
        <w:t xml:space="preserve">för de fyra </w:t>
      </w:r>
      <w:r w:rsidR="00C16832">
        <w:rPr>
          <w:rFonts w:ascii="Times New Roman" w:hAnsi="Times New Roman" w:cs="Times New Roman"/>
          <w:sz w:val="24"/>
          <w:szCs w:val="24"/>
        </w:rPr>
        <w:t>besättningarna</w:t>
      </w:r>
      <w:r w:rsidR="00DC67C4">
        <w:rPr>
          <w:rFonts w:ascii="Times New Roman" w:hAnsi="Times New Roman" w:cs="Times New Roman"/>
          <w:sz w:val="24"/>
          <w:szCs w:val="24"/>
        </w:rPr>
        <w:t xml:space="preserve"> som deltog i försöket och som slaktade grisar. Detta</w:t>
      </w:r>
      <w:r>
        <w:rPr>
          <w:rFonts w:ascii="Times New Roman" w:hAnsi="Times New Roman" w:cs="Times New Roman"/>
          <w:sz w:val="24"/>
          <w:szCs w:val="24"/>
        </w:rPr>
        <w:t xml:space="preserve"> var betydligt lägre än medeltalen för de ingående slakterierna, vilka visas i tabell 3.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4249D2" w14:textId="77777777" w:rsidR="00701D99" w:rsidRPr="00D22125" w:rsidRDefault="00701D99" w:rsidP="00701D99">
      <w:pPr>
        <w:rPr>
          <w:rFonts w:ascii="Times New Roman" w:hAnsi="Times New Roman" w:cs="Times New Roman"/>
          <w:sz w:val="24"/>
          <w:szCs w:val="24"/>
        </w:rPr>
      </w:pPr>
    </w:p>
    <w:p w14:paraId="234DCF58" w14:textId="363CC731" w:rsidR="00712CCC" w:rsidRPr="00ED2D75" w:rsidRDefault="00712CCC" w:rsidP="0071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Tabell 2. Sjukdomsregistreringar vid slakt i de fyra besättningarna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2CCC" w:rsidRPr="00D0695A" w14:paraId="7CEAEB11" w14:textId="77777777" w:rsidTr="00431665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B182786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68B14799" w14:textId="77777777" w:rsidR="00712CC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 slaktade djur</w:t>
            </w:r>
          </w:p>
          <w:p w14:paraId="7414A59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5721E9CC" w14:textId="77777777" w:rsidR="00712CC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Pleurit</w:t>
            </w:r>
          </w:p>
          <w:p w14:paraId="4B1323D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38526B5C" w14:textId="77777777" w:rsidR="00712CC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Pneumoni</w:t>
            </w:r>
          </w:p>
          <w:p w14:paraId="4CED7F1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61/62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4E325B7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Elak lungsjuka 71/72</w:t>
            </w:r>
          </w:p>
        </w:tc>
      </w:tr>
      <w:tr w:rsidR="00712CCC" w:rsidRPr="00D0695A" w14:paraId="29A133CB" w14:textId="77777777" w:rsidTr="00431665">
        <w:tc>
          <w:tcPr>
            <w:tcW w:w="1812" w:type="dxa"/>
            <w:tcBorders>
              <w:top w:val="single" w:sz="4" w:space="0" w:color="auto"/>
            </w:tcBorders>
          </w:tcPr>
          <w:p w14:paraId="5B48F664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1921470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CAF86B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64CF7E15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724CB8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7CDA1F04" w14:textId="77777777" w:rsidTr="00431665">
        <w:tc>
          <w:tcPr>
            <w:tcW w:w="1812" w:type="dxa"/>
          </w:tcPr>
          <w:p w14:paraId="284CB13D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Besättning 1</w:t>
            </w:r>
          </w:p>
        </w:tc>
        <w:tc>
          <w:tcPr>
            <w:tcW w:w="1812" w:type="dxa"/>
          </w:tcPr>
          <w:p w14:paraId="2138375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4B0F28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56108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C49D79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555DF63A" w14:textId="77777777" w:rsidTr="00431665">
        <w:tc>
          <w:tcPr>
            <w:tcW w:w="1812" w:type="dxa"/>
          </w:tcPr>
          <w:p w14:paraId="56E4EA84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2019</w:t>
            </w:r>
          </w:p>
        </w:tc>
        <w:tc>
          <w:tcPr>
            <w:tcW w:w="1812" w:type="dxa"/>
          </w:tcPr>
          <w:p w14:paraId="2705B2C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812" w:type="dxa"/>
          </w:tcPr>
          <w:p w14:paraId="20A85A8E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9,8 %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3" w:type="dxa"/>
          </w:tcPr>
          <w:p w14:paraId="75A6C06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</w:tc>
        <w:tc>
          <w:tcPr>
            <w:tcW w:w="1813" w:type="dxa"/>
          </w:tcPr>
          <w:p w14:paraId="192FAF1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CC" w:rsidRPr="00D0695A" w14:paraId="3612B354" w14:textId="77777777" w:rsidTr="00431665">
        <w:tc>
          <w:tcPr>
            <w:tcW w:w="1812" w:type="dxa"/>
          </w:tcPr>
          <w:p w14:paraId="10BBF13B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2020</w:t>
            </w:r>
          </w:p>
        </w:tc>
        <w:tc>
          <w:tcPr>
            <w:tcW w:w="1812" w:type="dxa"/>
          </w:tcPr>
          <w:p w14:paraId="152215F7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812" w:type="dxa"/>
          </w:tcPr>
          <w:p w14:paraId="57B15AA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3" w:type="dxa"/>
          </w:tcPr>
          <w:p w14:paraId="49F096A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0,8 %</w:t>
            </w:r>
          </w:p>
        </w:tc>
        <w:tc>
          <w:tcPr>
            <w:tcW w:w="1813" w:type="dxa"/>
          </w:tcPr>
          <w:p w14:paraId="2DD095E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CC" w:rsidRPr="00D0695A" w14:paraId="2A723A3F" w14:textId="77777777" w:rsidTr="00431665">
        <w:tc>
          <w:tcPr>
            <w:tcW w:w="1812" w:type="dxa"/>
          </w:tcPr>
          <w:p w14:paraId="06766826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78629F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057A85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3A0F3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669515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3C92CC69" w14:textId="77777777" w:rsidTr="00431665">
        <w:tc>
          <w:tcPr>
            <w:tcW w:w="1812" w:type="dxa"/>
          </w:tcPr>
          <w:p w14:paraId="7B3140D9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Besättning 2</w:t>
            </w:r>
          </w:p>
        </w:tc>
        <w:tc>
          <w:tcPr>
            <w:tcW w:w="1812" w:type="dxa"/>
          </w:tcPr>
          <w:p w14:paraId="2B91CD5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37FCDB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048F8C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03B71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4CC7D729" w14:textId="77777777" w:rsidTr="00431665">
        <w:tc>
          <w:tcPr>
            <w:tcW w:w="1812" w:type="dxa"/>
          </w:tcPr>
          <w:p w14:paraId="66B8ABB0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2019</w:t>
            </w:r>
          </w:p>
        </w:tc>
        <w:tc>
          <w:tcPr>
            <w:tcW w:w="1812" w:type="dxa"/>
          </w:tcPr>
          <w:p w14:paraId="559F6D15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812" w:type="dxa"/>
          </w:tcPr>
          <w:p w14:paraId="602898E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3,8 %</w:t>
            </w:r>
          </w:p>
        </w:tc>
        <w:tc>
          <w:tcPr>
            <w:tcW w:w="1813" w:type="dxa"/>
          </w:tcPr>
          <w:p w14:paraId="107F447E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  <w:tc>
          <w:tcPr>
            <w:tcW w:w="1813" w:type="dxa"/>
          </w:tcPr>
          <w:p w14:paraId="7D73566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712CCC" w:rsidRPr="00D0695A" w14:paraId="31D9C1D4" w14:textId="77777777" w:rsidTr="00431665">
        <w:tc>
          <w:tcPr>
            <w:tcW w:w="1812" w:type="dxa"/>
          </w:tcPr>
          <w:p w14:paraId="29961D08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2020</w:t>
            </w:r>
          </w:p>
        </w:tc>
        <w:tc>
          <w:tcPr>
            <w:tcW w:w="1812" w:type="dxa"/>
          </w:tcPr>
          <w:p w14:paraId="7EE48D4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12" w:type="dxa"/>
          </w:tcPr>
          <w:p w14:paraId="210CC0AD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2,7 %</w:t>
            </w:r>
          </w:p>
        </w:tc>
        <w:tc>
          <w:tcPr>
            <w:tcW w:w="1813" w:type="dxa"/>
          </w:tcPr>
          <w:p w14:paraId="0148654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1813" w:type="dxa"/>
          </w:tcPr>
          <w:p w14:paraId="5161D94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CC" w:rsidRPr="00D0695A" w14:paraId="530805DB" w14:textId="77777777" w:rsidTr="00431665">
        <w:tc>
          <w:tcPr>
            <w:tcW w:w="1812" w:type="dxa"/>
          </w:tcPr>
          <w:p w14:paraId="09EDAE12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E3BAA0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1F69EF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3C59A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47DD7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74B94EA0" w14:textId="77777777" w:rsidTr="00431665">
        <w:tc>
          <w:tcPr>
            <w:tcW w:w="1812" w:type="dxa"/>
          </w:tcPr>
          <w:p w14:paraId="75D58469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Besättning 4</w:t>
            </w:r>
          </w:p>
        </w:tc>
        <w:tc>
          <w:tcPr>
            <w:tcW w:w="1812" w:type="dxa"/>
          </w:tcPr>
          <w:p w14:paraId="1B45B8E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CD2C95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82BF29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EC565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25D240C2" w14:textId="77777777" w:rsidTr="00431665">
        <w:tc>
          <w:tcPr>
            <w:tcW w:w="1812" w:type="dxa"/>
          </w:tcPr>
          <w:p w14:paraId="040A361B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2019</w:t>
            </w:r>
          </w:p>
        </w:tc>
        <w:tc>
          <w:tcPr>
            <w:tcW w:w="1812" w:type="dxa"/>
          </w:tcPr>
          <w:p w14:paraId="16CA6587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812" w:type="dxa"/>
          </w:tcPr>
          <w:p w14:paraId="6DA5BCF7" w14:textId="77777777" w:rsidR="00712CCC" w:rsidRPr="0045034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3" w:type="dxa"/>
          </w:tcPr>
          <w:p w14:paraId="0A4F302B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  <w:tc>
          <w:tcPr>
            <w:tcW w:w="1813" w:type="dxa"/>
          </w:tcPr>
          <w:p w14:paraId="1AF78C6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712CCC" w:rsidRPr="00D0695A" w14:paraId="01A7C461" w14:textId="77777777" w:rsidTr="00431665">
        <w:tc>
          <w:tcPr>
            <w:tcW w:w="1812" w:type="dxa"/>
          </w:tcPr>
          <w:p w14:paraId="0E0B1730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2020</w:t>
            </w:r>
          </w:p>
        </w:tc>
        <w:tc>
          <w:tcPr>
            <w:tcW w:w="1812" w:type="dxa"/>
          </w:tcPr>
          <w:p w14:paraId="5A85559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812" w:type="dxa"/>
          </w:tcPr>
          <w:p w14:paraId="4830804E" w14:textId="77777777" w:rsidR="00712CCC" w:rsidRPr="0045034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3" w:type="dxa"/>
          </w:tcPr>
          <w:p w14:paraId="07B7080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  <w:tc>
          <w:tcPr>
            <w:tcW w:w="1813" w:type="dxa"/>
          </w:tcPr>
          <w:p w14:paraId="13BAD5C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712CCC" w:rsidRPr="00D0695A" w14:paraId="644266A8" w14:textId="77777777" w:rsidTr="00431665">
        <w:tc>
          <w:tcPr>
            <w:tcW w:w="1812" w:type="dxa"/>
          </w:tcPr>
          <w:p w14:paraId="1C25809A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C352BC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149E3E2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B80E58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20B3D7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6CB091F9" w14:textId="77777777" w:rsidTr="00431665">
        <w:tc>
          <w:tcPr>
            <w:tcW w:w="1812" w:type="dxa"/>
          </w:tcPr>
          <w:p w14:paraId="6269261A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Besättning 5</w:t>
            </w:r>
          </w:p>
        </w:tc>
        <w:tc>
          <w:tcPr>
            <w:tcW w:w="1812" w:type="dxa"/>
          </w:tcPr>
          <w:p w14:paraId="76E7A2F0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62B5D1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E5EAA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768707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CC" w:rsidRPr="00D0695A" w14:paraId="5BD2F858" w14:textId="77777777" w:rsidTr="00431665">
        <w:tc>
          <w:tcPr>
            <w:tcW w:w="1812" w:type="dxa"/>
          </w:tcPr>
          <w:p w14:paraId="4CDCF57E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2019</w:t>
            </w:r>
          </w:p>
        </w:tc>
        <w:tc>
          <w:tcPr>
            <w:tcW w:w="1812" w:type="dxa"/>
          </w:tcPr>
          <w:p w14:paraId="53C2BC50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812" w:type="dxa"/>
          </w:tcPr>
          <w:p w14:paraId="70BF2539" w14:textId="77777777" w:rsidR="00712CCC" w:rsidRPr="0045034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42,1 %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3" w:type="dxa"/>
          </w:tcPr>
          <w:p w14:paraId="7003E594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  <w:tc>
          <w:tcPr>
            <w:tcW w:w="1813" w:type="dxa"/>
          </w:tcPr>
          <w:p w14:paraId="608B51EE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712CCC" w:rsidRPr="00D0695A" w14:paraId="721AB748" w14:textId="77777777" w:rsidTr="00431665">
        <w:tc>
          <w:tcPr>
            <w:tcW w:w="1812" w:type="dxa"/>
          </w:tcPr>
          <w:p w14:paraId="478E1C7D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2020</w:t>
            </w:r>
          </w:p>
        </w:tc>
        <w:tc>
          <w:tcPr>
            <w:tcW w:w="1812" w:type="dxa"/>
          </w:tcPr>
          <w:p w14:paraId="31E7BD0E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812" w:type="dxa"/>
          </w:tcPr>
          <w:p w14:paraId="224C8D2B" w14:textId="77777777" w:rsidR="00712CCC" w:rsidRPr="0045034C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1,8 % </w:t>
            </w:r>
            <w:r w:rsidRPr="000A7C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3" w:type="dxa"/>
          </w:tcPr>
          <w:p w14:paraId="6DD05E3F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1,0 %</w:t>
            </w:r>
          </w:p>
        </w:tc>
        <w:tc>
          <w:tcPr>
            <w:tcW w:w="1813" w:type="dxa"/>
          </w:tcPr>
          <w:p w14:paraId="6DBC767E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CC" w:rsidRPr="00D0695A" w14:paraId="0AECF006" w14:textId="77777777" w:rsidTr="00431665">
        <w:tc>
          <w:tcPr>
            <w:tcW w:w="1812" w:type="dxa"/>
            <w:tcBorders>
              <w:bottom w:val="single" w:sz="4" w:space="0" w:color="auto"/>
            </w:tcBorders>
          </w:tcPr>
          <w:p w14:paraId="05F63A93" w14:textId="77777777" w:rsidR="00712CCC" w:rsidRPr="00D0695A" w:rsidRDefault="00712CCC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5231BECA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59713DB9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859C316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69E1DE0" w14:textId="77777777" w:rsidR="00712CCC" w:rsidRPr="00D0695A" w:rsidRDefault="00712CCC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0BAE5" w14:textId="77777777" w:rsidR="00712CCC" w:rsidRPr="00ED2D75" w:rsidRDefault="00712CCC" w:rsidP="00712CCC">
      <w:pPr>
        <w:rPr>
          <w:rFonts w:ascii="Times New Roman" w:hAnsi="Times New Roman" w:cs="Times New Roman"/>
          <w:sz w:val="20"/>
          <w:szCs w:val="20"/>
        </w:rPr>
      </w:pPr>
      <w:r w:rsidRPr="00ED2D75">
        <w:rPr>
          <w:rFonts w:ascii="Times New Roman" w:hAnsi="Times New Roman" w:cs="Times New Roman"/>
          <w:b/>
          <w:bCs/>
          <w:sz w:val="20"/>
          <w:szCs w:val="20"/>
        </w:rPr>
        <w:t>χ</w:t>
      </w:r>
      <w:r w:rsidRPr="00ED2D7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ED2D75">
        <w:rPr>
          <w:rFonts w:ascii="Times New Roman" w:hAnsi="Times New Roman" w:cs="Times New Roman"/>
          <w:b/>
          <w:bCs/>
          <w:sz w:val="20"/>
          <w:szCs w:val="20"/>
        </w:rPr>
        <w:t>-analyser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2D75">
        <w:rPr>
          <w:rFonts w:ascii="Times New Roman" w:hAnsi="Times New Roman" w:cs="Times New Roman"/>
          <w:sz w:val="20"/>
          <w:szCs w:val="20"/>
        </w:rPr>
        <w:t>Olika versaler skiljer signifikant (</w:t>
      </w:r>
      <w:proofErr w:type="gramStart"/>
      <w:r w:rsidRPr="00ED2D75">
        <w:rPr>
          <w:rFonts w:ascii="Times New Roman" w:hAnsi="Times New Roman" w:cs="Times New Roman"/>
          <w:sz w:val="20"/>
          <w:szCs w:val="20"/>
        </w:rPr>
        <w:t>p&lt;</w:t>
      </w:r>
      <w:proofErr w:type="gramEnd"/>
      <w:r w:rsidRPr="00ED2D75">
        <w:rPr>
          <w:rFonts w:ascii="Times New Roman" w:hAnsi="Times New Roman" w:cs="Times New Roman"/>
          <w:sz w:val="20"/>
          <w:szCs w:val="20"/>
        </w:rPr>
        <w:t>0.001), Olika geme</w:t>
      </w:r>
      <w:r>
        <w:rPr>
          <w:rFonts w:ascii="Times New Roman" w:hAnsi="Times New Roman" w:cs="Times New Roman"/>
          <w:sz w:val="20"/>
          <w:szCs w:val="20"/>
        </w:rPr>
        <w:t>ne</w:t>
      </w:r>
      <w:r w:rsidRPr="00ED2D75">
        <w:rPr>
          <w:rFonts w:ascii="Times New Roman" w:hAnsi="Times New Roman" w:cs="Times New Roman"/>
          <w:sz w:val="20"/>
          <w:szCs w:val="20"/>
        </w:rPr>
        <w:t>r visar en tendens till skillnad (p=0,0644)</w:t>
      </w:r>
    </w:p>
    <w:p w14:paraId="103BCF61" w14:textId="254273A2" w:rsidR="00ED2D75" w:rsidRDefault="00ED2D75">
      <w:pPr>
        <w:rPr>
          <w:rFonts w:ascii="Times New Roman" w:hAnsi="Times New Roman" w:cs="Times New Roman"/>
          <w:sz w:val="24"/>
          <w:szCs w:val="24"/>
        </w:rPr>
      </w:pPr>
    </w:p>
    <w:p w14:paraId="706EAEF7" w14:textId="77777777" w:rsidR="00701D99" w:rsidRPr="00D22125" w:rsidRDefault="00701D99" w:rsidP="000148CC">
      <w:pPr>
        <w:rPr>
          <w:rFonts w:ascii="Times New Roman" w:hAnsi="Times New Roman" w:cs="Times New Roman"/>
          <w:sz w:val="24"/>
          <w:szCs w:val="24"/>
        </w:rPr>
      </w:pPr>
    </w:p>
    <w:p w14:paraId="70030A38" w14:textId="613B2387" w:rsidR="000148CC" w:rsidRDefault="000148CC" w:rsidP="000148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3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Tabell 3</w:t>
      </w:r>
      <w:r w:rsidRPr="0049371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66D95">
        <w:rPr>
          <w:rFonts w:ascii="Times New Roman" w:hAnsi="Times New Roman" w:cs="Times New Roman"/>
          <w:i/>
          <w:iCs/>
          <w:sz w:val="24"/>
          <w:szCs w:val="24"/>
        </w:rPr>
        <w:t xml:space="preserve">Medelfrekvens registreringar för luftvägssjukdomar vid tre svenska slakteriföretag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2D75" w:rsidRPr="00D0695A" w14:paraId="66EFB62E" w14:textId="77777777" w:rsidTr="00431665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B7368A5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35823891" w14:textId="77777777" w:rsidR="00ED2D75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Pleurit</w:t>
            </w:r>
          </w:p>
          <w:p w14:paraId="5FC0D61C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3E2DC4C" w14:textId="77777777" w:rsidR="00ED2D75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Pneumoni</w:t>
            </w:r>
          </w:p>
          <w:p w14:paraId="312A0735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61/62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34634D8D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Elak lungsjuka 71/72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60A2F722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2E21D491" w14:textId="77777777" w:rsidTr="00431665">
        <w:tc>
          <w:tcPr>
            <w:tcW w:w="1812" w:type="dxa"/>
            <w:tcBorders>
              <w:top w:val="single" w:sz="4" w:space="0" w:color="auto"/>
            </w:tcBorders>
          </w:tcPr>
          <w:p w14:paraId="152CF2F5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7871583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2F527DE4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AB45EFC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44ACA424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70EBE85F" w14:textId="77777777" w:rsidTr="00431665">
        <w:tc>
          <w:tcPr>
            <w:tcW w:w="1812" w:type="dxa"/>
          </w:tcPr>
          <w:p w14:paraId="62E49032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2 2020</w:t>
            </w:r>
          </w:p>
        </w:tc>
        <w:tc>
          <w:tcPr>
            <w:tcW w:w="1812" w:type="dxa"/>
          </w:tcPr>
          <w:p w14:paraId="757CBFFA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DDD6A6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08FD2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1A4C3F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08BE4AE4" w14:textId="77777777" w:rsidTr="00431665">
        <w:tc>
          <w:tcPr>
            <w:tcW w:w="1812" w:type="dxa"/>
          </w:tcPr>
          <w:p w14:paraId="253E7C66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1</w:t>
            </w:r>
          </w:p>
        </w:tc>
        <w:tc>
          <w:tcPr>
            <w:tcW w:w="1812" w:type="dxa"/>
          </w:tcPr>
          <w:p w14:paraId="69372081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20,7 %</w:t>
            </w:r>
          </w:p>
        </w:tc>
        <w:tc>
          <w:tcPr>
            <w:tcW w:w="1812" w:type="dxa"/>
          </w:tcPr>
          <w:p w14:paraId="02E6F1B3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1813" w:type="dxa"/>
          </w:tcPr>
          <w:p w14:paraId="70D304AA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  <w:tc>
          <w:tcPr>
            <w:tcW w:w="1813" w:type="dxa"/>
          </w:tcPr>
          <w:p w14:paraId="6A66E724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1F355429" w14:textId="77777777" w:rsidTr="00431665">
        <w:tc>
          <w:tcPr>
            <w:tcW w:w="1812" w:type="dxa"/>
          </w:tcPr>
          <w:p w14:paraId="074BB525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2</w:t>
            </w:r>
          </w:p>
        </w:tc>
        <w:tc>
          <w:tcPr>
            <w:tcW w:w="1812" w:type="dxa"/>
          </w:tcPr>
          <w:p w14:paraId="7E70F546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29,1 %</w:t>
            </w:r>
          </w:p>
        </w:tc>
        <w:tc>
          <w:tcPr>
            <w:tcW w:w="1812" w:type="dxa"/>
          </w:tcPr>
          <w:p w14:paraId="4E7E7E6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1,6 %</w:t>
            </w:r>
          </w:p>
        </w:tc>
        <w:tc>
          <w:tcPr>
            <w:tcW w:w="1813" w:type="dxa"/>
          </w:tcPr>
          <w:p w14:paraId="65C43EE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  <w:tc>
          <w:tcPr>
            <w:tcW w:w="1813" w:type="dxa"/>
          </w:tcPr>
          <w:p w14:paraId="34AE5666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2DF4F45A" w14:textId="77777777" w:rsidTr="00431665">
        <w:tc>
          <w:tcPr>
            <w:tcW w:w="1812" w:type="dxa"/>
          </w:tcPr>
          <w:p w14:paraId="5BEA58D9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3</w:t>
            </w:r>
          </w:p>
        </w:tc>
        <w:tc>
          <w:tcPr>
            <w:tcW w:w="1812" w:type="dxa"/>
          </w:tcPr>
          <w:p w14:paraId="485F6043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16,9 %</w:t>
            </w:r>
          </w:p>
        </w:tc>
        <w:tc>
          <w:tcPr>
            <w:tcW w:w="1812" w:type="dxa"/>
          </w:tcPr>
          <w:p w14:paraId="0DFCC59B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  <w:tc>
          <w:tcPr>
            <w:tcW w:w="1813" w:type="dxa"/>
          </w:tcPr>
          <w:p w14:paraId="353587ED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  <w:tc>
          <w:tcPr>
            <w:tcW w:w="1813" w:type="dxa"/>
          </w:tcPr>
          <w:p w14:paraId="61AC66E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0ECF9C2C" w14:textId="77777777" w:rsidTr="00431665">
        <w:tc>
          <w:tcPr>
            <w:tcW w:w="1812" w:type="dxa"/>
          </w:tcPr>
          <w:p w14:paraId="294EF644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4A52D0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F57D3AD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604CB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6C0384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00C14912" w14:textId="77777777" w:rsidTr="00431665">
        <w:tc>
          <w:tcPr>
            <w:tcW w:w="1812" w:type="dxa"/>
          </w:tcPr>
          <w:p w14:paraId="4DA706D2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 3 2020</w:t>
            </w:r>
          </w:p>
        </w:tc>
        <w:tc>
          <w:tcPr>
            <w:tcW w:w="1812" w:type="dxa"/>
          </w:tcPr>
          <w:p w14:paraId="1BBD810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0BC21C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227A7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C146AE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10648377" w14:textId="77777777" w:rsidTr="00431665">
        <w:tc>
          <w:tcPr>
            <w:tcW w:w="1812" w:type="dxa"/>
          </w:tcPr>
          <w:p w14:paraId="121CF270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1</w:t>
            </w:r>
          </w:p>
        </w:tc>
        <w:tc>
          <w:tcPr>
            <w:tcW w:w="1812" w:type="dxa"/>
          </w:tcPr>
          <w:p w14:paraId="7B8D5D52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15,5 %</w:t>
            </w:r>
          </w:p>
        </w:tc>
        <w:tc>
          <w:tcPr>
            <w:tcW w:w="1812" w:type="dxa"/>
          </w:tcPr>
          <w:p w14:paraId="794205B0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  <w:tc>
          <w:tcPr>
            <w:tcW w:w="1813" w:type="dxa"/>
          </w:tcPr>
          <w:p w14:paraId="74E132EF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813" w:type="dxa"/>
          </w:tcPr>
          <w:p w14:paraId="7E6C00B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407DE79A" w14:textId="77777777" w:rsidTr="00431665">
        <w:tc>
          <w:tcPr>
            <w:tcW w:w="1812" w:type="dxa"/>
          </w:tcPr>
          <w:p w14:paraId="7B142001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2</w:t>
            </w:r>
          </w:p>
        </w:tc>
        <w:tc>
          <w:tcPr>
            <w:tcW w:w="1812" w:type="dxa"/>
          </w:tcPr>
          <w:p w14:paraId="4E1CB3E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28,6 %</w:t>
            </w:r>
          </w:p>
        </w:tc>
        <w:tc>
          <w:tcPr>
            <w:tcW w:w="1812" w:type="dxa"/>
          </w:tcPr>
          <w:p w14:paraId="3E2EBAB3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1,2 %</w:t>
            </w:r>
          </w:p>
        </w:tc>
        <w:tc>
          <w:tcPr>
            <w:tcW w:w="1813" w:type="dxa"/>
          </w:tcPr>
          <w:p w14:paraId="21BD42B1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1813" w:type="dxa"/>
          </w:tcPr>
          <w:p w14:paraId="74B435B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6ACA65BA" w14:textId="77777777" w:rsidTr="00431665">
        <w:tc>
          <w:tcPr>
            <w:tcW w:w="1812" w:type="dxa"/>
          </w:tcPr>
          <w:p w14:paraId="392AE047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Slakteri 3</w:t>
            </w:r>
          </w:p>
        </w:tc>
        <w:tc>
          <w:tcPr>
            <w:tcW w:w="1812" w:type="dxa"/>
          </w:tcPr>
          <w:p w14:paraId="3CEADBC2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15,7 %</w:t>
            </w:r>
          </w:p>
        </w:tc>
        <w:tc>
          <w:tcPr>
            <w:tcW w:w="1812" w:type="dxa"/>
          </w:tcPr>
          <w:p w14:paraId="18FD84C2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2,9 %</w:t>
            </w:r>
          </w:p>
        </w:tc>
        <w:tc>
          <w:tcPr>
            <w:tcW w:w="1813" w:type="dxa"/>
          </w:tcPr>
          <w:p w14:paraId="50DAD3CD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0,8 %</w:t>
            </w:r>
          </w:p>
        </w:tc>
        <w:tc>
          <w:tcPr>
            <w:tcW w:w="1813" w:type="dxa"/>
          </w:tcPr>
          <w:p w14:paraId="75FC4AB1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75" w:rsidRPr="00D0695A" w14:paraId="763EF483" w14:textId="77777777" w:rsidTr="00431665">
        <w:tc>
          <w:tcPr>
            <w:tcW w:w="1812" w:type="dxa"/>
            <w:tcBorders>
              <w:bottom w:val="single" w:sz="4" w:space="0" w:color="auto"/>
            </w:tcBorders>
          </w:tcPr>
          <w:p w14:paraId="71AD9378" w14:textId="77777777" w:rsidR="00ED2D75" w:rsidRPr="00D0695A" w:rsidRDefault="00ED2D75" w:rsidP="0043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AFF4906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EA12A59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27E25088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0382DBA" w14:textId="77777777" w:rsidR="00ED2D75" w:rsidRPr="00D0695A" w:rsidRDefault="00ED2D75" w:rsidP="0043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EDE2A" w14:textId="68372B6A" w:rsidR="00ED2D75" w:rsidRPr="00ED2D75" w:rsidRDefault="00ED2D75" w:rsidP="000148CC">
      <w:pPr>
        <w:rPr>
          <w:rFonts w:ascii="Times New Roman" w:hAnsi="Times New Roman" w:cs="Times New Roman"/>
          <w:sz w:val="24"/>
          <w:szCs w:val="24"/>
        </w:rPr>
      </w:pPr>
    </w:p>
    <w:p w14:paraId="14907031" w14:textId="042CBA9B" w:rsidR="0016037E" w:rsidRPr="00D22125" w:rsidRDefault="0016037E" w:rsidP="008226B6">
      <w:pPr>
        <w:rPr>
          <w:rFonts w:ascii="Times New Roman" w:hAnsi="Times New Roman" w:cs="Times New Roman"/>
          <w:sz w:val="24"/>
          <w:szCs w:val="24"/>
        </w:rPr>
      </w:pPr>
    </w:p>
    <w:p w14:paraId="148344FD" w14:textId="77777777" w:rsidR="00712CCC" w:rsidRDefault="00712C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2FF85A1" w14:textId="6BDCD102" w:rsidR="0016037E" w:rsidRPr="00B82C17" w:rsidRDefault="008551AC" w:rsidP="008226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2C17">
        <w:rPr>
          <w:rFonts w:ascii="Times New Roman" w:hAnsi="Times New Roman" w:cs="Times New Roman"/>
          <w:b/>
          <w:bCs/>
          <w:sz w:val="28"/>
          <w:szCs w:val="28"/>
        </w:rPr>
        <w:lastRenderedPageBreak/>
        <w:t>Diskussion</w:t>
      </w:r>
    </w:p>
    <w:p w14:paraId="6F328A29" w14:textId="1B506E39" w:rsidR="0016037E" w:rsidRDefault="0005685C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Registreringar </w:t>
      </w:r>
      <w:r w:rsidR="00483E53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kod 75/76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brösthineinflamationer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(pleuriter) </w:t>
      </w:r>
      <w:r w:rsidR="00483E53">
        <w:rPr>
          <w:rFonts w:ascii="Times New Roman" w:hAnsi="Times New Roman" w:cs="Times New Roman"/>
          <w:sz w:val="24"/>
          <w:szCs w:val="24"/>
        </w:rPr>
        <w:t xml:space="preserve">vid slakt </w:t>
      </w:r>
      <w:r>
        <w:rPr>
          <w:rFonts w:ascii="Times New Roman" w:hAnsi="Times New Roman" w:cs="Times New Roman"/>
          <w:sz w:val="24"/>
          <w:szCs w:val="24"/>
        </w:rPr>
        <w:t xml:space="preserve">sjönk </w:t>
      </w:r>
      <w:r w:rsidR="00176C4C">
        <w:rPr>
          <w:rFonts w:ascii="Times New Roman" w:hAnsi="Times New Roman" w:cs="Times New Roman"/>
          <w:sz w:val="24"/>
          <w:szCs w:val="24"/>
        </w:rPr>
        <w:t xml:space="preserve">på nationell nivå </w:t>
      </w:r>
      <w:r>
        <w:rPr>
          <w:rFonts w:ascii="Times New Roman" w:hAnsi="Times New Roman" w:cs="Times New Roman"/>
          <w:sz w:val="24"/>
          <w:szCs w:val="24"/>
        </w:rPr>
        <w:t>i samband med att ålderssektioneringen från födsel till slakt</w:t>
      </w:r>
      <w:r w:rsidR="00483E53">
        <w:rPr>
          <w:rFonts w:ascii="Times New Roman" w:hAnsi="Times New Roman" w:cs="Times New Roman"/>
          <w:sz w:val="24"/>
          <w:szCs w:val="24"/>
        </w:rPr>
        <w:t xml:space="preserve"> infördes</w:t>
      </w:r>
      <w:r>
        <w:rPr>
          <w:rFonts w:ascii="Times New Roman" w:hAnsi="Times New Roman" w:cs="Times New Roman"/>
          <w:sz w:val="24"/>
          <w:szCs w:val="24"/>
        </w:rPr>
        <w:t xml:space="preserve"> under 1990-talet </w:t>
      </w:r>
      <w:r w:rsidR="00176C4C">
        <w:rPr>
          <w:rFonts w:ascii="Times New Roman" w:hAnsi="Times New Roman" w:cs="Times New Roman"/>
          <w:sz w:val="24"/>
          <w:szCs w:val="24"/>
        </w:rPr>
        <w:t>till</w:t>
      </w:r>
      <w:r>
        <w:rPr>
          <w:rFonts w:ascii="Times New Roman" w:hAnsi="Times New Roman" w:cs="Times New Roman"/>
          <w:sz w:val="24"/>
          <w:szCs w:val="24"/>
        </w:rPr>
        <w:t xml:space="preserve"> cirka </w:t>
      </w:r>
      <w:r w:rsidR="00176C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vid </w:t>
      </w:r>
      <w:r w:rsidR="00483E53">
        <w:rPr>
          <w:rFonts w:ascii="Times New Roman" w:hAnsi="Times New Roman" w:cs="Times New Roman"/>
          <w:sz w:val="24"/>
          <w:szCs w:val="24"/>
        </w:rPr>
        <w:t>millennieskiftet</w:t>
      </w:r>
      <w:r>
        <w:rPr>
          <w:rFonts w:ascii="Times New Roman" w:hAnsi="Times New Roman" w:cs="Times New Roman"/>
          <w:sz w:val="24"/>
          <w:szCs w:val="24"/>
        </w:rPr>
        <w:t xml:space="preserve">. Därefter har incidensen pleuriter stadigt ökat och </w:t>
      </w:r>
      <w:r w:rsidR="00483E53">
        <w:rPr>
          <w:rFonts w:ascii="Times New Roman" w:hAnsi="Times New Roman" w:cs="Times New Roman"/>
          <w:sz w:val="24"/>
          <w:szCs w:val="24"/>
        </w:rPr>
        <w:t>är nu cirka 15% (se figur 1). F</w:t>
      </w:r>
      <w:r>
        <w:rPr>
          <w:rFonts w:ascii="Times New Roman" w:hAnsi="Times New Roman" w:cs="Times New Roman"/>
          <w:sz w:val="24"/>
          <w:szCs w:val="24"/>
        </w:rPr>
        <w:t xml:space="preserve">örsök att förklara varför detta skett har inte givit något entydigt svar. I en större serologisk studie som genomfördes under 2010-talet noterades att </w:t>
      </w:r>
      <w:r w:rsidRPr="00056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serotyp 2 skulle kunna förklara detta i </w:t>
      </w:r>
      <w:r w:rsidR="00176C4C">
        <w:rPr>
          <w:rFonts w:ascii="Times New Roman" w:hAnsi="Times New Roman" w:cs="Times New Roman"/>
          <w:sz w:val="24"/>
          <w:szCs w:val="24"/>
        </w:rPr>
        <w:t>en del</w:t>
      </w:r>
      <w:r>
        <w:rPr>
          <w:rFonts w:ascii="Times New Roman" w:hAnsi="Times New Roman" w:cs="Times New Roman"/>
          <w:sz w:val="24"/>
          <w:szCs w:val="24"/>
        </w:rPr>
        <w:t xml:space="preserve"> besättningar, ibland tillsammans med sekund</w:t>
      </w:r>
      <w:r w:rsidR="00127CAB">
        <w:rPr>
          <w:rFonts w:ascii="Times New Roman" w:hAnsi="Times New Roman" w:cs="Times New Roman"/>
          <w:sz w:val="24"/>
          <w:szCs w:val="24"/>
        </w:rPr>
        <w:t xml:space="preserve">ära </w:t>
      </w:r>
      <w:r w:rsidRPr="0005685C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>
        <w:rPr>
          <w:rFonts w:ascii="Times New Roman" w:hAnsi="Times New Roman" w:cs="Times New Roman"/>
          <w:sz w:val="24"/>
          <w:szCs w:val="24"/>
        </w:rPr>
        <w:t xml:space="preserve">-infektioner (8) I andra fall kom </w:t>
      </w:r>
      <w:r w:rsidR="00C16832" w:rsidRPr="0005685C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>
        <w:rPr>
          <w:rFonts w:ascii="Times New Roman" w:hAnsi="Times New Roman" w:cs="Times New Roman"/>
          <w:sz w:val="24"/>
          <w:szCs w:val="24"/>
        </w:rPr>
        <w:t xml:space="preserve">-infektionen före </w:t>
      </w:r>
      <w:r w:rsidRPr="00056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-infektionen och i vissa fall förblev djuren seronegativa gentemot </w:t>
      </w:r>
      <w:r w:rsidRPr="00056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>, men serokonvert</w:t>
      </w:r>
      <w:r w:rsidR="00483E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rade mot </w:t>
      </w:r>
      <w:r w:rsidRPr="0005685C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  <w:r w:rsidR="00483E53">
        <w:rPr>
          <w:rFonts w:ascii="Times New Roman" w:hAnsi="Times New Roman" w:cs="Times New Roman"/>
          <w:sz w:val="24"/>
          <w:szCs w:val="24"/>
        </w:rPr>
        <w:t>, vilket insinuerade ett inflytande av virala infektioner</w:t>
      </w:r>
      <w:r w:rsidR="00176C4C">
        <w:rPr>
          <w:rFonts w:ascii="Times New Roman" w:hAnsi="Times New Roman" w:cs="Times New Roman"/>
          <w:sz w:val="24"/>
          <w:szCs w:val="24"/>
        </w:rPr>
        <w:t xml:space="preserve"> som banade vägen för sekundärinfektioner med </w:t>
      </w:r>
      <w:r w:rsidR="00176C4C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r>
        <w:rPr>
          <w:rFonts w:ascii="Times New Roman" w:hAnsi="Times New Roman" w:cs="Times New Roman"/>
          <w:sz w:val="24"/>
          <w:szCs w:val="24"/>
        </w:rPr>
        <w:t>. Det skall också beaktas att samtliga besätt</w:t>
      </w:r>
      <w:r w:rsidR="00176C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ingar i den studie</w:t>
      </w:r>
      <w:r w:rsidR="00176C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förblev seronegativa mot såväl </w:t>
      </w:r>
      <w:r w:rsidRPr="000568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Mhyo</w:t>
      </w:r>
      <w:r>
        <w:rPr>
          <w:rFonts w:ascii="Times New Roman" w:hAnsi="Times New Roman" w:cs="Times New Roman"/>
          <w:sz w:val="24"/>
          <w:szCs w:val="24"/>
        </w:rPr>
        <w:t xml:space="preserve"> som influensa under hela uppväxtperioden (8). </w:t>
      </w:r>
    </w:p>
    <w:p w14:paraId="3192E4E6" w14:textId="414F2381" w:rsidR="00C3061B" w:rsidRDefault="00483E53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 här </w:t>
      </w:r>
      <w:r w:rsidR="00E672EE">
        <w:rPr>
          <w:rFonts w:ascii="Times New Roman" w:hAnsi="Times New Roman" w:cs="Times New Roman"/>
          <w:sz w:val="24"/>
          <w:szCs w:val="24"/>
        </w:rPr>
        <w:t>studien</w:t>
      </w:r>
      <w:r>
        <w:rPr>
          <w:rFonts w:ascii="Times New Roman" w:hAnsi="Times New Roman" w:cs="Times New Roman"/>
          <w:sz w:val="24"/>
          <w:szCs w:val="24"/>
        </w:rPr>
        <w:t xml:space="preserve"> har fokus ställts mot </w:t>
      </w:r>
      <w:r w:rsidRPr="00483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serotyp 2, men också och mot </w:t>
      </w:r>
      <w:r w:rsidR="00176C4C">
        <w:rPr>
          <w:rFonts w:ascii="Times New Roman" w:hAnsi="Times New Roman" w:cs="Times New Roman"/>
          <w:sz w:val="24"/>
          <w:szCs w:val="24"/>
        </w:rPr>
        <w:t xml:space="preserve">att söka </w:t>
      </w:r>
      <w:r>
        <w:rPr>
          <w:rFonts w:ascii="Times New Roman" w:hAnsi="Times New Roman" w:cs="Times New Roman"/>
          <w:sz w:val="24"/>
          <w:szCs w:val="24"/>
        </w:rPr>
        <w:t>förvärva en besättning</w:t>
      </w:r>
      <w:r w:rsidR="00176C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adekvat immunitet bland inköpta avelsdjur genom att låta dem adaptera sig till förhållandena i de besättningar de kommit till. I besättning 1 och 2 introducerades de nyinköpta a</w:t>
      </w:r>
      <w:r w:rsidR="00176C4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6C4C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djuren till besättningen förs</w:t>
      </w:r>
      <w:r w:rsidR="00127C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efter avvänjning, dvs vid cirka 15 månaders ålder</w:t>
      </w:r>
      <w:r w:rsidR="00127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ärefter </w:t>
      </w:r>
      <w:r w:rsidR="00127CAB">
        <w:rPr>
          <w:rFonts w:ascii="Times New Roman" w:hAnsi="Times New Roman" w:cs="Times New Roman"/>
          <w:sz w:val="24"/>
          <w:szCs w:val="24"/>
        </w:rPr>
        <w:t xml:space="preserve">fick de </w:t>
      </w:r>
      <w:r>
        <w:rPr>
          <w:rFonts w:ascii="Times New Roman" w:hAnsi="Times New Roman" w:cs="Times New Roman"/>
          <w:sz w:val="24"/>
          <w:szCs w:val="24"/>
        </w:rPr>
        <w:t>gå tillsamman med övriga avelsdjur i fyra månader innan de själva grisade in på nytt. Besättning 4 köpte dräktiga rekryteringsdjur som fick gå tillsammans med övriga avelsdjur i 7 veckor innan de grisade in.</w:t>
      </w:r>
    </w:p>
    <w:p w14:paraId="5538999B" w14:textId="340CB5AE" w:rsidR="00C3061B" w:rsidRDefault="00483E53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besättning 5 som </w:t>
      </w:r>
      <w:r w:rsidR="00176C4C">
        <w:rPr>
          <w:rFonts w:ascii="Times New Roman" w:hAnsi="Times New Roman" w:cs="Times New Roman"/>
          <w:sz w:val="24"/>
          <w:szCs w:val="24"/>
        </w:rPr>
        <w:t xml:space="preserve">tidigare </w:t>
      </w:r>
      <w:r>
        <w:rPr>
          <w:rFonts w:ascii="Times New Roman" w:hAnsi="Times New Roman" w:cs="Times New Roman"/>
          <w:sz w:val="24"/>
          <w:szCs w:val="24"/>
        </w:rPr>
        <w:t>hade en mycket hög frekvens pleur</w:t>
      </w:r>
      <w:r w:rsidR="00C306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 vid slakt</w:t>
      </w:r>
      <w:r w:rsidR="00176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vilka relaterats till </w:t>
      </w:r>
      <w:r w:rsidRPr="00E67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serotyp 2</w:t>
      </w:r>
      <w:r w:rsidR="00C3061B">
        <w:rPr>
          <w:rFonts w:ascii="Times New Roman" w:hAnsi="Times New Roman" w:cs="Times New Roman"/>
          <w:sz w:val="24"/>
          <w:szCs w:val="24"/>
        </w:rPr>
        <w:t xml:space="preserve">, tillämpades en modifierad strategi. Rekryteringen bestod av betäckningsfärdiga djur som dubbelvaccinerats mot </w:t>
      </w:r>
      <w:r w:rsidR="00C3061B" w:rsidRPr="00C30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="00C3061B">
        <w:rPr>
          <w:rFonts w:ascii="Times New Roman" w:hAnsi="Times New Roman" w:cs="Times New Roman"/>
          <w:sz w:val="24"/>
          <w:szCs w:val="24"/>
        </w:rPr>
        <w:t xml:space="preserve"> serotyp 2 redan innan ankomst till besättningen. Efter isolering </w:t>
      </w:r>
      <w:r w:rsidR="00176C4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C3061B">
        <w:rPr>
          <w:rFonts w:ascii="Times New Roman" w:hAnsi="Times New Roman" w:cs="Times New Roman"/>
          <w:sz w:val="24"/>
          <w:szCs w:val="24"/>
        </w:rPr>
        <w:t>3-6</w:t>
      </w:r>
      <w:proofErr w:type="gramEnd"/>
      <w:r w:rsidR="00C3061B">
        <w:rPr>
          <w:rFonts w:ascii="Times New Roman" w:hAnsi="Times New Roman" w:cs="Times New Roman"/>
          <w:sz w:val="24"/>
          <w:szCs w:val="24"/>
        </w:rPr>
        <w:t xml:space="preserve"> veckor flyttades </w:t>
      </w:r>
      <w:r w:rsidR="00176C4C">
        <w:rPr>
          <w:rFonts w:ascii="Times New Roman" w:hAnsi="Times New Roman" w:cs="Times New Roman"/>
          <w:sz w:val="24"/>
          <w:szCs w:val="24"/>
        </w:rPr>
        <w:t>rekryteringsdjuren</w:t>
      </w:r>
      <w:r w:rsidR="00C3061B">
        <w:rPr>
          <w:rFonts w:ascii="Times New Roman" w:hAnsi="Times New Roman" w:cs="Times New Roman"/>
          <w:sz w:val="24"/>
          <w:szCs w:val="24"/>
        </w:rPr>
        <w:t xml:space="preserve"> till en </w:t>
      </w:r>
      <w:r w:rsidR="00176C4C">
        <w:rPr>
          <w:rFonts w:ascii="Times New Roman" w:hAnsi="Times New Roman" w:cs="Times New Roman"/>
          <w:sz w:val="24"/>
          <w:szCs w:val="24"/>
        </w:rPr>
        <w:t xml:space="preserve">avskild </w:t>
      </w:r>
      <w:r w:rsidR="00C3061B">
        <w:rPr>
          <w:rFonts w:ascii="Times New Roman" w:hAnsi="Times New Roman" w:cs="Times New Roman"/>
          <w:sz w:val="24"/>
          <w:szCs w:val="24"/>
        </w:rPr>
        <w:t xml:space="preserve">betäckningsavdelning där även några äldre suggor </w:t>
      </w:r>
      <w:r w:rsidR="00176C4C">
        <w:rPr>
          <w:rFonts w:ascii="Times New Roman" w:hAnsi="Times New Roman" w:cs="Times New Roman"/>
          <w:sz w:val="24"/>
          <w:szCs w:val="24"/>
        </w:rPr>
        <w:t xml:space="preserve">från besättningen </w:t>
      </w:r>
      <w:r w:rsidR="00C3061B">
        <w:rPr>
          <w:rFonts w:ascii="Times New Roman" w:hAnsi="Times New Roman" w:cs="Times New Roman"/>
          <w:sz w:val="24"/>
          <w:szCs w:val="24"/>
        </w:rPr>
        <w:t>vistades och efter inplantationsfasen flyttades de 3-4 veckor efter betäckningen in till den övriga avelspopulationen. De hade dä</w:t>
      </w:r>
      <w:r w:rsidR="009002D5">
        <w:rPr>
          <w:rFonts w:ascii="Times New Roman" w:hAnsi="Times New Roman" w:cs="Times New Roman"/>
          <w:sz w:val="24"/>
          <w:szCs w:val="24"/>
        </w:rPr>
        <w:t>r</w:t>
      </w:r>
      <w:r w:rsidR="00C3061B">
        <w:rPr>
          <w:rFonts w:ascii="Times New Roman" w:hAnsi="Times New Roman" w:cs="Times New Roman"/>
          <w:sz w:val="24"/>
          <w:szCs w:val="24"/>
        </w:rPr>
        <w:t xml:space="preserve">med </w:t>
      </w:r>
      <w:r w:rsidR="009002D5">
        <w:rPr>
          <w:rFonts w:ascii="Times New Roman" w:hAnsi="Times New Roman" w:cs="Times New Roman"/>
          <w:sz w:val="24"/>
          <w:szCs w:val="24"/>
        </w:rPr>
        <w:t>varit tillsammans med alla avelsdjur i besättningen cirka 12 veckor innan de grisade in och dessförinnan hade de haft en begränsad exponering för besättningens mikrobiota under minst 6 veckor då de introducerades till några äldre suggor. Därutöver upphörde alla omgrupperingar mellan växande djur av olika slag under hela uppfödningsperioden efter den initiala kullutjämningen i samband med grisning.</w:t>
      </w:r>
    </w:p>
    <w:p w14:paraId="1C0906C6" w14:textId="77C4BF06" w:rsidR="000A49CF" w:rsidRDefault="009002D5" w:rsidP="008226B6">
      <w:pPr>
        <w:rPr>
          <w:rFonts w:ascii="Times New Roman" w:hAnsi="Times New Roman" w:cs="Times New Roman"/>
          <w:sz w:val="24"/>
          <w:szCs w:val="24"/>
        </w:rPr>
      </w:pPr>
      <w:r w:rsidRPr="0085365A">
        <w:rPr>
          <w:rFonts w:ascii="Times New Roman" w:hAnsi="Times New Roman" w:cs="Times New Roman"/>
          <w:sz w:val="24"/>
          <w:szCs w:val="24"/>
        </w:rPr>
        <w:t xml:space="preserve">Det är </w:t>
      </w:r>
      <w:r w:rsidR="00E672EE" w:rsidRPr="0085365A">
        <w:rPr>
          <w:rFonts w:ascii="Times New Roman" w:hAnsi="Times New Roman" w:cs="Times New Roman"/>
          <w:sz w:val="24"/>
          <w:szCs w:val="24"/>
        </w:rPr>
        <w:t>en styrka för den här studien</w:t>
      </w:r>
      <w:r w:rsidRPr="0085365A">
        <w:rPr>
          <w:rFonts w:ascii="Times New Roman" w:hAnsi="Times New Roman" w:cs="Times New Roman"/>
          <w:sz w:val="24"/>
          <w:szCs w:val="24"/>
        </w:rPr>
        <w:t xml:space="preserve"> 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CF">
        <w:rPr>
          <w:rFonts w:ascii="Times New Roman" w:hAnsi="Times New Roman" w:cs="Times New Roman"/>
          <w:sz w:val="24"/>
          <w:szCs w:val="24"/>
        </w:rPr>
        <w:t xml:space="preserve">alla </w:t>
      </w:r>
      <w:r w:rsidR="00176C4C">
        <w:rPr>
          <w:rFonts w:ascii="Times New Roman" w:hAnsi="Times New Roman" w:cs="Times New Roman"/>
          <w:sz w:val="24"/>
          <w:szCs w:val="24"/>
        </w:rPr>
        <w:t xml:space="preserve">fyra </w:t>
      </w:r>
      <w:r>
        <w:rPr>
          <w:rFonts w:ascii="Times New Roman" w:hAnsi="Times New Roman" w:cs="Times New Roman"/>
          <w:sz w:val="24"/>
          <w:szCs w:val="24"/>
        </w:rPr>
        <w:t>besättningar</w:t>
      </w:r>
      <w:r w:rsidR="00176C4C">
        <w:rPr>
          <w:rFonts w:ascii="Times New Roman" w:hAnsi="Times New Roman" w:cs="Times New Roman"/>
          <w:sz w:val="24"/>
          <w:szCs w:val="24"/>
        </w:rPr>
        <w:t xml:space="preserve"> som slaktade grisar</w:t>
      </w:r>
      <w:r>
        <w:rPr>
          <w:rFonts w:ascii="Times New Roman" w:hAnsi="Times New Roman" w:cs="Times New Roman"/>
          <w:sz w:val="24"/>
          <w:szCs w:val="24"/>
        </w:rPr>
        <w:t xml:space="preserve"> minskade incidensen pleuriter vid </w:t>
      </w:r>
      <w:r w:rsidR="000A49CF">
        <w:rPr>
          <w:rFonts w:ascii="Times New Roman" w:hAnsi="Times New Roman" w:cs="Times New Roman"/>
          <w:sz w:val="24"/>
          <w:szCs w:val="24"/>
        </w:rPr>
        <w:t>slakt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CF">
        <w:rPr>
          <w:rFonts w:ascii="Times New Roman" w:hAnsi="Times New Roman" w:cs="Times New Roman"/>
          <w:sz w:val="24"/>
          <w:szCs w:val="24"/>
        </w:rPr>
        <w:t xml:space="preserve">numerärt och tillsammans sjönk incidensen pleurit </w:t>
      </w:r>
      <w:r>
        <w:rPr>
          <w:rFonts w:ascii="Times New Roman" w:hAnsi="Times New Roman" w:cs="Times New Roman"/>
          <w:sz w:val="24"/>
          <w:szCs w:val="24"/>
        </w:rPr>
        <w:t xml:space="preserve">från </w:t>
      </w:r>
      <w:r w:rsidR="000A49CF">
        <w:rPr>
          <w:rFonts w:ascii="Times New Roman" w:hAnsi="Times New Roman" w:cs="Times New Roman"/>
          <w:sz w:val="24"/>
          <w:szCs w:val="24"/>
        </w:rPr>
        <w:t>11,8 av 5965 slaktade grisar kvartal 3 år 2019 till 1,8% för 4598 slaktade grisar samma kvartal år 2020 (</w:t>
      </w:r>
      <w:proofErr w:type="gramStart"/>
      <w:r w:rsidR="000A49CF">
        <w:rPr>
          <w:rFonts w:ascii="Times New Roman" w:hAnsi="Times New Roman" w:cs="Times New Roman"/>
          <w:sz w:val="24"/>
          <w:szCs w:val="24"/>
        </w:rPr>
        <w:t>p&lt;</w:t>
      </w:r>
      <w:proofErr w:type="gramEnd"/>
      <w:r w:rsidR="000A49CF">
        <w:rPr>
          <w:rFonts w:ascii="Times New Roman" w:hAnsi="Times New Roman" w:cs="Times New Roman"/>
          <w:sz w:val="24"/>
          <w:szCs w:val="24"/>
        </w:rPr>
        <w:t>0,001</w:t>
      </w:r>
      <w:r w:rsidR="000A49CF" w:rsidRPr="000A49CF">
        <w:rPr>
          <w:rFonts w:ascii="Times New Roman" w:hAnsi="Times New Roman" w:cs="Times New Roman"/>
          <w:sz w:val="24"/>
          <w:szCs w:val="24"/>
        </w:rPr>
        <w:t>, χ</w:t>
      </w:r>
      <w:r w:rsidR="000A49CF" w:rsidRPr="000A4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9CF" w:rsidRPr="000A49CF">
        <w:rPr>
          <w:rFonts w:ascii="Times New Roman" w:hAnsi="Times New Roman" w:cs="Times New Roman"/>
          <w:sz w:val="24"/>
          <w:szCs w:val="24"/>
        </w:rPr>
        <w:t>-analys</w:t>
      </w:r>
      <w:r w:rsidR="000A49CF">
        <w:rPr>
          <w:rFonts w:ascii="Times New Roman" w:hAnsi="Times New Roman" w:cs="Times New Roman"/>
          <w:sz w:val="24"/>
          <w:szCs w:val="24"/>
        </w:rPr>
        <w:t xml:space="preserve">). Minskningen var </w:t>
      </w:r>
      <w:r w:rsidR="00176C4C">
        <w:rPr>
          <w:rFonts w:ascii="Times New Roman" w:hAnsi="Times New Roman" w:cs="Times New Roman"/>
          <w:sz w:val="24"/>
          <w:szCs w:val="24"/>
        </w:rPr>
        <w:t xml:space="preserve">även individuellt </w:t>
      </w:r>
      <w:r w:rsidR="000A49CF">
        <w:rPr>
          <w:rFonts w:ascii="Times New Roman" w:hAnsi="Times New Roman" w:cs="Times New Roman"/>
          <w:sz w:val="24"/>
          <w:szCs w:val="24"/>
        </w:rPr>
        <w:t>signifikant (</w:t>
      </w:r>
      <w:proofErr w:type="gramStart"/>
      <w:r w:rsidR="000A49CF">
        <w:rPr>
          <w:rFonts w:ascii="Times New Roman" w:hAnsi="Times New Roman" w:cs="Times New Roman"/>
          <w:sz w:val="24"/>
          <w:szCs w:val="24"/>
        </w:rPr>
        <w:t>p&lt;</w:t>
      </w:r>
      <w:proofErr w:type="gramEnd"/>
      <w:r w:rsidR="000A49CF">
        <w:rPr>
          <w:rFonts w:ascii="Times New Roman" w:hAnsi="Times New Roman" w:cs="Times New Roman"/>
          <w:sz w:val="24"/>
          <w:szCs w:val="24"/>
        </w:rPr>
        <w:t>0,001</w:t>
      </w:r>
      <w:r w:rsidR="000A49CF" w:rsidRPr="000A49CF">
        <w:rPr>
          <w:rFonts w:ascii="Times New Roman" w:hAnsi="Times New Roman" w:cs="Times New Roman"/>
          <w:sz w:val="24"/>
          <w:szCs w:val="24"/>
        </w:rPr>
        <w:t>, χ</w:t>
      </w:r>
      <w:r w:rsidR="000A49CF" w:rsidRPr="000A4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9CF" w:rsidRPr="000A49CF">
        <w:rPr>
          <w:rFonts w:ascii="Times New Roman" w:hAnsi="Times New Roman" w:cs="Times New Roman"/>
          <w:sz w:val="24"/>
          <w:szCs w:val="24"/>
        </w:rPr>
        <w:t>-analys)</w:t>
      </w:r>
      <w:r w:rsidR="000A49CF">
        <w:rPr>
          <w:rFonts w:ascii="Times New Roman" w:hAnsi="Times New Roman" w:cs="Times New Roman"/>
          <w:sz w:val="24"/>
          <w:szCs w:val="24"/>
        </w:rPr>
        <w:t xml:space="preserve"> i två av besättningarna och i princip signifikant i en tredje besättning (p&lt;0,0644</w:t>
      </w:r>
      <w:r w:rsidR="000A49CF" w:rsidRPr="000A49CF">
        <w:rPr>
          <w:rFonts w:ascii="Times New Roman" w:hAnsi="Times New Roman" w:cs="Times New Roman"/>
          <w:sz w:val="24"/>
          <w:szCs w:val="24"/>
        </w:rPr>
        <w:t>, χ</w:t>
      </w:r>
      <w:r w:rsidR="000A49CF" w:rsidRPr="000A4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49CF" w:rsidRPr="000A49CF">
        <w:rPr>
          <w:rFonts w:ascii="Times New Roman" w:hAnsi="Times New Roman" w:cs="Times New Roman"/>
          <w:sz w:val="24"/>
          <w:szCs w:val="24"/>
        </w:rPr>
        <w:t>-analys).</w:t>
      </w:r>
    </w:p>
    <w:p w14:paraId="18F52FC2" w14:textId="77777777" w:rsidR="00E672EE" w:rsidRDefault="00B93921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Tanken att adaptera inköpta djur till besättningens mikroflora genom en lång tid tillsammans med de egna avelsdjuren innan grisning tillsammans med dem föreföll </w:t>
      </w:r>
      <w:r w:rsidR="00E672EE">
        <w:rPr>
          <w:rFonts w:ascii="Times New Roman" w:hAnsi="Times New Roman" w:cs="Times New Roman"/>
          <w:sz w:val="24"/>
          <w:szCs w:val="24"/>
        </w:rPr>
        <w:t xml:space="preserve">därmed </w:t>
      </w:r>
      <w:r>
        <w:rPr>
          <w:rFonts w:ascii="Times New Roman" w:hAnsi="Times New Roman" w:cs="Times New Roman"/>
          <w:sz w:val="24"/>
          <w:szCs w:val="24"/>
        </w:rPr>
        <w:t xml:space="preserve">fungera väl. </w:t>
      </w:r>
      <w:r w:rsidR="00176C4C">
        <w:rPr>
          <w:rFonts w:ascii="Times New Roman" w:hAnsi="Times New Roman" w:cs="Times New Roman"/>
          <w:sz w:val="24"/>
          <w:szCs w:val="24"/>
        </w:rPr>
        <w:t>Inte minst i</w:t>
      </w:r>
      <w:r w:rsidR="000A49CF" w:rsidRPr="000A49CF">
        <w:rPr>
          <w:rFonts w:ascii="Times New Roman" w:hAnsi="Times New Roman" w:cs="Times New Roman"/>
          <w:sz w:val="24"/>
          <w:szCs w:val="24"/>
        </w:rPr>
        <w:t xml:space="preserve"> besättning 4 </w:t>
      </w:r>
      <w:r w:rsidR="000A49CF">
        <w:rPr>
          <w:rFonts w:ascii="Times New Roman" w:hAnsi="Times New Roman" w:cs="Times New Roman"/>
          <w:sz w:val="24"/>
          <w:szCs w:val="24"/>
        </w:rPr>
        <w:t xml:space="preserve">som tidigare hade </w:t>
      </w:r>
      <w:r w:rsidR="00176C4C">
        <w:rPr>
          <w:rFonts w:ascii="Times New Roman" w:hAnsi="Times New Roman" w:cs="Times New Roman"/>
          <w:sz w:val="24"/>
          <w:szCs w:val="24"/>
        </w:rPr>
        <w:t xml:space="preserve">haft </w:t>
      </w:r>
      <w:r w:rsidR="000A49CF">
        <w:rPr>
          <w:rFonts w:ascii="Times New Roman" w:hAnsi="Times New Roman" w:cs="Times New Roman"/>
          <w:sz w:val="24"/>
          <w:szCs w:val="24"/>
        </w:rPr>
        <w:t xml:space="preserve">mycket höga nivåer av registreringar för </w:t>
      </w:r>
      <w:r>
        <w:rPr>
          <w:rFonts w:ascii="Times New Roman" w:hAnsi="Times New Roman" w:cs="Times New Roman"/>
          <w:sz w:val="24"/>
          <w:szCs w:val="24"/>
        </w:rPr>
        <w:t>pleuriter</w:t>
      </w:r>
      <w:r w:rsidR="000A49CF">
        <w:rPr>
          <w:rFonts w:ascii="Times New Roman" w:hAnsi="Times New Roman" w:cs="Times New Roman"/>
          <w:sz w:val="24"/>
          <w:szCs w:val="24"/>
        </w:rPr>
        <w:t xml:space="preserve"> vid slakt</w:t>
      </w:r>
      <w:r>
        <w:rPr>
          <w:rFonts w:ascii="Times New Roman" w:hAnsi="Times New Roman" w:cs="Times New Roman"/>
          <w:sz w:val="24"/>
          <w:szCs w:val="24"/>
        </w:rPr>
        <w:t xml:space="preserve"> var resultatet glädjande</w:t>
      </w:r>
      <w:r w:rsidR="000A49CF">
        <w:rPr>
          <w:rFonts w:ascii="Times New Roman" w:hAnsi="Times New Roman" w:cs="Times New Roman"/>
          <w:sz w:val="24"/>
          <w:szCs w:val="24"/>
        </w:rPr>
        <w:t xml:space="preserve">. I den här besättningen </w:t>
      </w:r>
      <w:r>
        <w:rPr>
          <w:rFonts w:ascii="Times New Roman" w:hAnsi="Times New Roman" w:cs="Times New Roman"/>
          <w:sz w:val="24"/>
          <w:szCs w:val="24"/>
        </w:rPr>
        <w:t xml:space="preserve">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smitt</w:t>
      </w:r>
      <w:r w:rsidR="00C16832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rycket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enligt tidigare u</w:t>
      </w:r>
      <w:r w:rsidR="00176C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dersökningar varit högt avseende </w:t>
      </w:r>
      <w:r w:rsidRPr="00B93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serotyp 2 modifierades rekrytering</w:t>
      </w:r>
      <w:r w:rsidR="00176C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modellen ytterligare. Ave</w:t>
      </w:r>
      <w:r w:rsidR="00176C4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sdjuren rekryterades </w:t>
      </w:r>
      <w:r w:rsidR="002913C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d yngre ålder</w:t>
      </w:r>
      <w:r w:rsidR="002913CC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vaccinerades mot </w:t>
      </w:r>
      <w:r w:rsidRPr="00E67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 serotyp 2 redan</w:t>
      </w:r>
      <w:r w:rsidR="002913CC">
        <w:rPr>
          <w:rFonts w:ascii="Times New Roman" w:hAnsi="Times New Roman" w:cs="Times New Roman"/>
          <w:sz w:val="24"/>
          <w:szCs w:val="24"/>
        </w:rPr>
        <w:t xml:space="preserve"> i säljarbesättningen. E</w:t>
      </w:r>
      <w:r>
        <w:rPr>
          <w:rFonts w:ascii="Times New Roman" w:hAnsi="Times New Roman" w:cs="Times New Roman"/>
          <w:sz w:val="24"/>
          <w:szCs w:val="24"/>
        </w:rPr>
        <w:t xml:space="preserve">fter ankomsten introducerades de gradvis till </w:t>
      </w:r>
      <w:r w:rsidR="002913C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esättningens av</w:t>
      </w:r>
      <w:r w:rsidR="002913CC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sdjur, men han</w:t>
      </w:r>
      <w:r w:rsidR="002913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trots det </w:t>
      </w:r>
      <w:r w:rsidR="002913CC">
        <w:rPr>
          <w:rFonts w:ascii="Times New Roman" w:hAnsi="Times New Roman" w:cs="Times New Roman"/>
          <w:sz w:val="24"/>
          <w:szCs w:val="24"/>
        </w:rPr>
        <w:t>med att ha v</w:t>
      </w:r>
      <w:r>
        <w:rPr>
          <w:rFonts w:ascii="Times New Roman" w:hAnsi="Times New Roman" w:cs="Times New Roman"/>
          <w:sz w:val="24"/>
          <w:szCs w:val="24"/>
        </w:rPr>
        <w:t>istats tillsammans med dem i 12 veckor innan</w:t>
      </w:r>
      <w:r w:rsidR="0029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var dags för grisning. </w:t>
      </w:r>
    </w:p>
    <w:p w14:paraId="370F5029" w14:textId="2D013383" w:rsidR="00176C4C" w:rsidRDefault="00B93921" w:rsidP="008226B6">
      <w:pPr>
        <w:rPr>
          <w:rFonts w:ascii="Times New Roman" w:hAnsi="Times New Roman" w:cs="Times New Roman"/>
          <w:sz w:val="24"/>
          <w:szCs w:val="24"/>
        </w:rPr>
      </w:pPr>
      <w:r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Där</w:t>
      </w:r>
      <w:r w:rsidR="00E672EE"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>utöver</w:t>
      </w:r>
      <w:r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upphörde alla provoceran</w:t>
      </w:r>
      <w:r w:rsidR="002913CC"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>e omgrupperingar av växande grisar efter kullutjämningen vid födelsen</w:t>
      </w:r>
      <w:r w:rsidR="00E672EE"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besättni</w:t>
      </w:r>
      <w:r w:rsidR="004F737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672EE"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>g 5, vilket bedöms ha haft en stor påverkan på det positiva utfallet</w:t>
      </w:r>
      <w:r w:rsidRPr="008536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2EE" w:rsidRPr="00E67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kan vara frestande att gruppera </w:t>
      </w:r>
      <w:r w:rsidR="002913CC">
        <w:rPr>
          <w:rFonts w:ascii="Times New Roman" w:hAnsi="Times New Roman" w:cs="Times New Roman"/>
          <w:sz w:val="24"/>
          <w:szCs w:val="24"/>
        </w:rPr>
        <w:t xml:space="preserve">växande </w:t>
      </w:r>
      <w:r>
        <w:rPr>
          <w:rFonts w:ascii="Times New Roman" w:hAnsi="Times New Roman" w:cs="Times New Roman"/>
          <w:sz w:val="24"/>
          <w:szCs w:val="24"/>
        </w:rPr>
        <w:t>grisar efter storlek efterhand för att få jämnare boxar, men det bör beaktas att varje omgruppering betyder ny</w:t>
      </w:r>
      <w:r w:rsidR="002913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sociala rankningar med påföljande </w:t>
      </w:r>
      <w:r w:rsidR="00E672EE">
        <w:rPr>
          <w:rFonts w:ascii="Times New Roman" w:hAnsi="Times New Roman" w:cs="Times New Roman"/>
          <w:sz w:val="24"/>
          <w:szCs w:val="24"/>
        </w:rPr>
        <w:t xml:space="preserve">negativ </w:t>
      </w:r>
      <w:r>
        <w:rPr>
          <w:rFonts w:ascii="Times New Roman" w:hAnsi="Times New Roman" w:cs="Times New Roman"/>
          <w:sz w:val="24"/>
          <w:szCs w:val="24"/>
        </w:rPr>
        <w:t>stress</w:t>
      </w:r>
      <w:r w:rsidR="00E672EE">
        <w:rPr>
          <w:rFonts w:ascii="Times New Roman" w:hAnsi="Times New Roman" w:cs="Times New Roman"/>
          <w:sz w:val="24"/>
          <w:szCs w:val="24"/>
        </w:rPr>
        <w:t xml:space="preserve"> för djuren. O</w:t>
      </w:r>
      <w:r>
        <w:rPr>
          <w:rFonts w:ascii="Times New Roman" w:hAnsi="Times New Roman" w:cs="Times New Roman"/>
          <w:sz w:val="24"/>
          <w:szCs w:val="24"/>
        </w:rPr>
        <w:t>mgrupperingar efter den initiala kullutjämningen bör därför i görligaste mån undvikas eftersom de är arbetsamma och stressande för såväl grisen som för skötaren. Om växande grisar överhuvudtaget skall omgrupperas är det bä</w:t>
      </w:r>
      <w:r w:rsidR="002913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 man kan göra att välja ut de minsta grisarna och blanda dem med varandra. De är sällan </w:t>
      </w:r>
      <w:r w:rsidR="002913CC">
        <w:rPr>
          <w:rFonts w:ascii="Times New Roman" w:hAnsi="Times New Roman" w:cs="Times New Roman"/>
          <w:sz w:val="24"/>
          <w:szCs w:val="24"/>
        </w:rPr>
        <w:t xml:space="preserve">eller aldrig som </w:t>
      </w:r>
      <w:r>
        <w:rPr>
          <w:rFonts w:ascii="Times New Roman" w:hAnsi="Times New Roman" w:cs="Times New Roman"/>
          <w:sz w:val="24"/>
          <w:szCs w:val="24"/>
        </w:rPr>
        <w:t xml:space="preserve">dessa grisar </w:t>
      </w:r>
      <w:r w:rsidR="00176C4C">
        <w:rPr>
          <w:rFonts w:ascii="Times New Roman" w:hAnsi="Times New Roman" w:cs="Times New Roman"/>
          <w:sz w:val="24"/>
          <w:szCs w:val="24"/>
        </w:rPr>
        <w:t xml:space="preserve">är högt rankade i den ursprungliga boxen </w:t>
      </w:r>
      <w:r w:rsidR="002913CC">
        <w:rPr>
          <w:rFonts w:ascii="Times New Roman" w:hAnsi="Times New Roman" w:cs="Times New Roman"/>
          <w:sz w:val="24"/>
          <w:szCs w:val="24"/>
        </w:rPr>
        <w:t>o</w:t>
      </w:r>
      <w:r w:rsidR="00176C4C">
        <w:rPr>
          <w:rFonts w:ascii="Times New Roman" w:hAnsi="Times New Roman" w:cs="Times New Roman"/>
          <w:sz w:val="24"/>
          <w:szCs w:val="24"/>
        </w:rPr>
        <w:t>ch bråk emellan</w:t>
      </w:r>
      <w:r w:rsidR="002913CC">
        <w:rPr>
          <w:rFonts w:ascii="Times New Roman" w:hAnsi="Times New Roman" w:cs="Times New Roman"/>
          <w:sz w:val="24"/>
          <w:szCs w:val="24"/>
        </w:rPr>
        <w:t xml:space="preserve"> grisar ur den här kategorin</w:t>
      </w:r>
      <w:r w:rsidR="00176C4C">
        <w:rPr>
          <w:rFonts w:ascii="Times New Roman" w:hAnsi="Times New Roman" w:cs="Times New Roman"/>
          <w:sz w:val="24"/>
          <w:szCs w:val="24"/>
        </w:rPr>
        <w:t xml:space="preserve"> är som många vet oftast mindre omfattande än </w:t>
      </w:r>
      <w:r w:rsidR="002913CC">
        <w:rPr>
          <w:rFonts w:ascii="Times New Roman" w:hAnsi="Times New Roman" w:cs="Times New Roman"/>
          <w:sz w:val="24"/>
          <w:szCs w:val="24"/>
        </w:rPr>
        <w:t xml:space="preserve">dem </w:t>
      </w:r>
      <w:r w:rsidR="00176C4C">
        <w:rPr>
          <w:rFonts w:ascii="Times New Roman" w:hAnsi="Times New Roman" w:cs="Times New Roman"/>
          <w:sz w:val="24"/>
          <w:szCs w:val="24"/>
        </w:rPr>
        <w:t>mellan högt rankade grisar.</w:t>
      </w:r>
    </w:p>
    <w:p w14:paraId="7AEA7EB3" w14:textId="1948EBDC" w:rsidR="00176C4C" w:rsidRDefault="00176C4C" w:rsidP="0082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resultat som uppnåtts i den här studien är intressanta </w:t>
      </w:r>
      <w:r w:rsidR="002913CC">
        <w:rPr>
          <w:rFonts w:ascii="Times New Roman" w:hAnsi="Times New Roman" w:cs="Times New Roman"/>
          <w:sz w:val="24"/>
          <w:szCs w:val="24"/>
        </w:rPr>
        <w:t>och positiva. De</w:t>
      </w:r>
      <w:r>
        <w:rPr>
          <w:rFonts w:ascii="Times New Roman" w:hAnsi="Times New Roman" w:cs="Times New Roman"/>
          <w:sz w:val="24"/>
          <w:szCs w:val="24"/>
        </w:rPr>
        <w:t xml:space="preserve"> kan fungera som vägledning för strategier för rekrytering av avelsdjur</w:t>
      </w:r>
      <w:r w:rsidR="002913CC">
        <w:rPr>
          <w:rFonts w:ascii="Times New Roman" w:hAnsi="Times New Roman" w:cs="Times New Roman"/>
          <w:sz w:val="24"/>
          <w:szCs w:val="24"/>
        </w:rPr>
        <w:t xml:space="preserve"> även för andra besättningar även om </w:t>
      </w:r>
      <w:r>
        <w:rPr>
          <w:rFonts w:ascii="Times New Roman" w:hAnsi="Times New Roman" w:cs="Times New Roman"/>
          <w:sz w:val="24"/>
          <w:szCs w:val="24"/>
        </w:rPr>
        <w:t xml:space="preserve">det bör beaktas att antalet ingående besättningar är begränsat och </w:t>
      </w:r>
      <w:r w:rsidR="002913CC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vi fortsätter även att bevaka utvecklingen i dessa besättningar i for</w:t>
      </w:r>
      <w:r w:rsidR="002913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av registreringar </w:t>
      </w:r>
      <w:r w:rsidR="00E672EE">
        <w:rPr>
          <w:rFonts w:ascii="Times New Roman" w:hAnsi="Times New Roman" w:cs="Times New Roman"/>
          <w:sz w:val="24"/>
          <w:szCs w:val="24"/>
        </w:rPr>
        <w:t xml:space="preserve">för luftvägsinfektioner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913CC">
        <w:rPr>
          <w:rFonts w:ascii="Times New Roman" w:hAnsi="Times New Roman" w:cs="Times New Roman"/>
          <w:sz w:val="24"/>
          <w:szCs w:val="24"/>
        </w:rPr>
        <w:t>samband med slakt</w:t>
      </w:r>
    </w:p>
    <w:p w14:paraId="5A981558" w14:textId="77777777" w:rsidR="00712CCC" w:rsidRDefault="00712CCC" w:rsidP="008226B6">
      <w:pPr>
        <w:rPr>
          <w:rFonts w:ascii="Times New Roman" w:hAnsi="Times New Roman" w:cs="Times New Roman"/>
          <w:sz w:val="24"/>
          <w:szCs w:val="24"/>
        </w:rPr>
      </w:pPr>
    </w:p>
    <w:p w14:paraId="59F71FBA" w14:textId="5CD7B719" w:rsidR="0016037E" w:rsidRPr="00711091" w:rsidRDefault="008551AC" w:rsidP="008226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091">
        <w:rPr>
          <w:rFonts w:ascii="Times New Roman" w:hAnsi="Times New Roman" w:cs="Times New Roman"/>
          <w:b/>
          <w:bCs/>
          <w:sz w:val="28"/>
          <w:szCs w:val="28"/>
        </w:rPr>
        <w:t>Referenser</w:t>
      </w:r>
    </w:p>
    <w:p w14:paraId="09CC69E2" w14:textId="77777777" w:rsidR="000F48D3" w:rsidRPr="000F48D3" w:rsidRDefault="000F48D3" w:rsidP="000F48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8D3">
        <w:rPr>
          <w:rFonts w:ascii="Times New Roman" w:hAnsi="Times New Roman" w:cs="Times New Roman"/>
          <w:sz w:val="24"/>
          <w:szCs w:val="24"/>
        </w:rPr>
        <w:t xml:space="preserve">Ehlorsson, C.J., Nörregård, E., Sjölund, M., Wallgren, P. och Westin, R. (2020) Sökes: metod för att identifiera suggor som bär på App. Grisföretagaren Nr 6, </w:t>
      </w:r>
      <w:proofErr w:type="gramStart"/>
      <w:r w:rsidRPr="000F48D3">
        <w:rPr>
          <w:rFonts w:ascii="Times New Roman" w:hAnsi="Times New Roman" w:cs="Times New Roman"/>
          <w:sz w:val="24"/>
          <w:szCs w:val="24"/>
        </w:rPr>
        <w:t>12-13</w:t>
      </w:r>
      <w:proofErr w:type="gramEnd"/>
      <w:r w:rsidRPr="000F48D3">
        <w:rPr>
          <w:rFonts w:ascii="Times New Roman" w:hAnsi="Times New Roman" w:cs="Times New Roman"/>
          <w:sz w:val="24"/>
          <w:szCs w:val="24"/>
        </w:rPr>
        <w:t>.</w:t>
      </w:r>
    </w:p>
    <w:p w14:paraId="33C02F3C" w14:textId="77777777" w:rsidR="00E93FE6" w:rsidRPr="00D22125" w:rsidRDefault="00E93FE6" w:rsidP="00E93FE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Ehlorsson C-J, Nörregård E och Wallgren P. Utvärdering av ”Dynamiken av </w:t>
      </w:r>
      <w:proofErr w:type="spellStart"/>
      <w:r w:rsidRPr="00D22125">
        <w:rPr>
          <w:rFonts w:ascii="Times New Roman" w:hAnsi="Times New Roman" w:cs="Times New Roman"/>
          <w:sz w:val="24"/>
          <w:szCs w:val="24"/>
        </w:rPr>
        <w:t>luftvägspatogener</w:t>
      </w:r>
      <w:proofErr w:type="spellEnd"/>
      <w:r w:rsidRPr="00D22125">
        <w:rPr>
          <w:rFonts w:ascii="Times New Roman" w:hAnsi="Times New Roman" w:cs="Times New Roman"/>
          <w:sz w:val="24"/>
          <w:szCs w:val="24"/>
        </w:rPr>
        <w:t xml:space="preserve"> i en slaktgrisbesättning”. Rapport till SSGF 2018.</w:t>
      </w:r>
    </w:p>
    <w:p w14:paraId="6EE0E816" w14:textId="77777777" w:rsidR="00E93FE6" w:rsidRPr="00D22125" w:rsidRDefault="00E93FE6" w:rsidP="00E93FE6">
      <w:pPr>
        <w:pStyle w:val="Liststycke"/>
        <w:numPr>
          <w:ilvl w:val="0"/>
          <w:numId w:val="1"/>
        </w:numPr>
        <w:spacing w:after="80" w:line="28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Sjölund M, Zoric M, Persson M, Karlsson G och Wallgren P (2011). </w:t>
      </w:r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Disease patterns and immune responses in the offspring to sows with high or low antibody levels to </w:t>
      </w:r>
      <w:proofErr w:type="spellStart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>Actinobacillus</w:t>
      </w:r>
      <w:proofErr w:type="spellEnd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 xml:space="preserve"> </w:t>
      </w:r>
      <w:proofErr w:type="spellStart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>pleuropneumoniae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 serotype 2. </w:t>
      </w:r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Res Vet Sci Aug 91(1):25–31.</w:t>
      </w:r>
    </w:p>
    <w:p w14:paraId="45348549" w14:textId="77777777" w:rsidR="00E93FE6" w:rsidRPr="00D22125" w:rsidRDefault="00E93FE6" w:rsidP="00E93FE6">
      <w:pPr>
        <w:pStyle w:val="Liststycke"/>
        <w:numPr>
          <w:ilvl w:val="0"/>
          <w:numId w:val="1"/>
        </w:numPr>
        <w:shd w:val="clear" w:color="auto" w:fill="FFFFFF"/>
        <w:spacing w:before="120" w:after="12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CA" w:eastAsia="sv-SE"/>
        </w:rPr>
      </w:pP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Vigre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H,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Angen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Ø,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Barfod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K,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Lavritsen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DT och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Sørensen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 (2002). </w:t>
      </w:r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Transmission of </w:t>
      </w:r>
      <w:proofErr w:type="spellStart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>Actinobacillus</w:t>
      </w:r>
      <w:proofErr w:type="spellEnd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 xml:space="preserve"> </w:t>
      </w:r>
      <w:proofErr w:type="spellStart"/>
      <w:r w:rsidRPr="00E672EE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sv-SE"/>
        </w:rPr>
        <w:t>pleuropneumoniae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 in pigs under field-like conditions: emphasis on tonsillar colonisation and passively acquired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>colostral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 antibodies. </w:t>
      </w:r>
      <w:hyperlink r:id="rId16" w:tooltip="Veterinary microbiology." w:history="1">
        <w:r w:rsidRPr="00D22125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CA" w:eastAsia="sv-SE"/>
          </w:rPr>
          <w:t>Vet Microbiol.</w:t>
        </w:r>
      </w:hyperlink>
      <w:r w:rsidRPr="00D22125">
        <w:rPr>
          <w:rFonts w:ascii="Times New Roman" w:eastAsia="Times New Roman" w:hAnsi="Times New Roman" w:cs="Times New Roman"/>
          <w:sz w:val="24"/>
          <w:szCs w:val="24"/>
          <w:lang w:val="en-CA" w:eastAsia="sv-SE"/>
        </w:rPr>
        <w:t xml:space="preserve"> Oct 22;89(2-3):151-9.</w:t>
      </w:r>
    </w:p>
    <w:p w14:paraId="0AEA0D93" w14:textId="77777777" w:rsidR="00E93FE6" w:rsidRPr="00D22125" w:rsidRDefault="00E93FE6" w:rsidP="00E93FE6">
      <w:pPr>
        <w:pStyle w:val="Liststycke"/>
        <w:numPr>
          <w:ilvl w:val="0"/>
          <w:numId w:val="1"/>
        </w:numPr>
        <w:spacing w:after="80" w:line="28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Wallgren P (2016) Produktionsrådgivning med inriktning att förbättra hälsoläget och minska det negativa inflytandet från infektioner, </w:t>
      </w:r>
      <w:proofErr w:type="gram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exempel gris</w:t>
      </w:r>
      <w:proofErr w:type="gram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Komp </w:t>
      </w:r>
      <w:proofErr w:type="spellStart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>Allm</w:t>
      </w:r>
      <w:proofErr w:type="spellEnd"/>
      <w:r w:rsidRPr="00D221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Vet möte 2016:80–83.</w:t>
      </w:r>
    </w:p>
    <w:p w14:paraId="4B94E7E6" w14:textId="2AE0B5F6" w:rsidR="005E4C41" w:rsidRPr="00D22125" w:rsidRDefault="00875C80" w:rsidP="005E4C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22125">
        <w:rPr>
          <w:rFonts w:ascii="Times New Roman" w:hAnsi="Times New Roman" w:cs="Times New Roman"/>
          <w:sz w:val="24"/>
          <w:szCs w:val="24"/>
          <w:lang w:val="en-GB"/>
        </w:rPr>
        <w:t>Wallgren P</w:t>
      </w:r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>Bölske</w:t>
      </w:r>
      <w:proofErr w:type="spellEnd"/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G, Gustafsson S, Mattsson S</w:t>
      </w:r>
      <w:r w:rsidR="00E672E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och</w:t>
      </w:r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Fossum C. </w:t>
      </w:r>
      <w:r w:rsidR="005E4C41" w:rsidRPr="00D22125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>1998</w:t>
      </w:r>
      <w:r w:rsidR="005E4C41" w:rsidRPr="00D22125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D221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hyperlink r:id="rId17" w:history="1">
        <w:r w:rsidR="005E4C41" w:rsidRPr="00D22125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Humoral immune responses to </w:t>
        </w:r>
        <w:r w:rsidR="005E4C41" w:rsidRPr="00E672EE">
          <w:rPr>
            <w:rFonts w:ascii="Times New Roman" w:hAnsi="Times New Roman" w:cs="Times New Roman"/>
            <w:bCs/>
            <w:i/>
            <w:iCs/>
            <w:sz w:val="24"/>
            <w:szCs w:val="24"/>
            <w:lang w:val="en-GB"/>
          </w:rPr>
          <w:t>Mycoplasma hyopneumoniae</w:t>
        </w:r>
        <w:r w:rsidR="005E4C41" w:rsidRPr="00D22125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 in sows and offspring following an outbreak of </w:t>
        </w:r>
        <w:proofErr w:type="spellStart"/>
        <w:r w:rsidR="005E4C41" w:rsidRPr="00D22125">
          <w:rPr>
            <w:rFonts w:ascii="Times New Roman" w:hAnsi="Times New Roman" w:cs="Times New Roman"/>
            <w:bCs/>
            <w:sz w:val="24"/>
            <w:szCs w:val="24"/>
            <w:lang w:val="en-GB"/>
          </w:rPr>
          <w:t>mycoplasmosis</w:t>
        </w:r>
        <w:proofErr w:type="spellEnd"/>
        <w:r w:rsidR="005E4C41" w:rsidRPr="00D22125">
          <w:rPr>
            <w:rFonts w:ascii="Times New Roman" w:hAnsi="Times New Roman" w:cs="Times New Roman"/>
            <w:bCs/>
            <w:sz w:val="24"/>
            <w:szCs w:val="24"/>
            <w:lang w:val="en-GB"/>
          </w:rPr>
          <w:t>.</w:t>
        </w:r>
      </w:hyperlink>
      <w:r w:rsidR="005E4C41" w:rsidRPr="00D221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Vet Microbiol.;60(2-4):193-205. </w:t>
      </w:r>
      <w:proofErr w:type="spellStart"/>
      <w:r w:rsidR="005E4C41" w:rsidRPr="00D22125">
        <w:rPr>
          <w:rFonts w:ascii="Times New Roman" w:hAnsi="Times New Roman" w:cs="Times New Roman"/>
          <w:bCs/>
          <w:sz w:val="24"/>
          <w:szCs w:val="24"/>
          <w:lang w:val="en-GB"/>
        </w:rPr>
        <w:t>doi</w:t>
      </w:r>
      <w:proofErr w:type="spellEnd"/>
      <w:r w:rsidR="005E4C41" w:rsidRPr="00D22125">
        <w:rPr>
          <w:rFonts w:ascii="Times New Roman" w:hAnsi="Times New Roman" w:cs="Times New Roman"/>
          <w:bCs/>
          <w:sz w:val="24"/>
          <w:szCs w:val="24"/>
          <w:lang w:val="en-GB"/>
        </w:rPr>
        <w:t>: 10.1016/s0378-1135(98)00155-2. PMID: 9646450.</w:t>
      </w:r>
    </w:p>
    <w:p w14:paraId="09C16F95" w14:textId="77777777" w:rsidR="005E4C41" w:rsidRPr="00D22125" w:rsidRDefault="005E4C41" w:rsidP="005E4C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bCs/>
          <w:sz w:val="24"/>
          <w:szCs w:val="24"/>
        </w:rPr>
        <w:t>Wallgren</w:t>
      </w:r>
      <w:r w:rsidRPr="00D22125">
        <w:rPr>
          <w:rFonts w:ascii="Times New Roman" w:hAnsi="Times New Roman" w:cs="Times New Roman"/>
          <w:sz w:val="24"/>
          <w:szCs w:val="24"/>
        </w:rPr>
        <w:t xml:space="preserve">, P. and K. Karlsson (2018) Slutsatser som kan dras av </w:t>
      </w:r>
      <w:r w:rsidRPr="00E67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</w:t>
      </w:r>
      <w:r w:rsidRPr="00D22125">
        <w:rPr>
          <w:rFonts w:ascii="Times New Roman" w:hAnsi="Times New Roman" w:cs="Times New Roman"/>
          <w:sz w:val="24"/>
          <w:szCs w:val="24"/>
        </w:rPr>
        <w:t>-inventeringen hos svenska grisar 2017. Grisföretagaren</w:t>
      </w:r>
    </w:p>
    <w:p w14:paraId="0FCB00B3" w14:textId="393076CD" w:rsidR="001048A4" w:rsidRDefault="000F48D3" w:rsidP="002913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0" w:name="_Hlk500424370"/>
      <w:r w:rsidRPr="00366D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Wallgren, P., Nörregård, E., Molander, B., Persson, M. and Ehlorsson, C.J. (2016) Serological patterns of </w:t>
      </w:r>
      <w:proofErr w:type="spellStart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Actinobacillus</w:t>
      </w:r>
      <w:proofErr w:type="spellEnd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pleuropneumoniae</w:t>
      </w:r>
      <w:proofErr w:type="spellEnd"/>
      <w:r w:rsidRPr="00366D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Mycoplasma </w:t>
      </w:r>
      <w:proofErr w:type="spellStart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hyopneumoniae</w:t>
      </w:r>
      <w:proofErr w:type="spellEnd"/>
      <w:r w:rsidRPr="00366D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Pasteurella </w:t>
      </w:r>
      <w:proofErr w:type="spellStart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multocida</w:t>
      </w:r>
      <w:proofErr w:type="spellEnd"/>
      <w:r w:rsidRPr="00366D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Streptococcus </w:t>
      </w:r>
      <w:proofErr w:type="spellStart"/>
      <w:r w:rsidRPr="00E672E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suis</w:t>
      </w:r>
      <w:proofErr w:type="spellEnd"/>
      <w:r w:rsidRPr="00366D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pig herds affected by pleuritis. </w:t>
      </w:r>
      <w:r w:rsidRPr="000F48D3">
        <w:rPr>
          <w:rFonts w:ascii="Times New Roman" w:hAnsi="Times New Roman" w:cs="Times New Roman"/>
          <w:bCs/>
          <w:sz w:val="24"/>
          <w:szCs w:val="24"/>
        </w:rPr>
        <w:t xml:space="preserve">Acta Vet Scand. 2016 </w:t>
      </w:r>
      <w:proofErr w:type="spellStart"/>
      <w:r w:rsidRPr="000F48D3">
        <w:rPr>
          <w:rFonts w:ascii="Times New Roman" w:hAnsi="Times New Roman" w:cs="Times New Roman"/>
          <w:bCs/>
          <w:sz w:val="24"/>
          <w:szCs w:val="24"/>
        </w:rPr>
        <w:t>Oct</w:t>
      </w:r>
      <w:proofErr w:type="spellEnd"/>
      <w:r w:rsidRPr="000F48D3">
        <w:rPr>
          <w:rFonts w:ascii="Times New Roman" w:hAnsi="Times New Roman" w:cs="Times New Roman"/>
          <w:bCs/>
          <w:sz w:val="24"/>
          <w:szCs w:val="24"/>
        </w:rPr>
        <w:t xml:space="preserve"> 4;58(1):71</w:t>
      </w:r>
      <w:bookmarkEnd w:id="0"/>
      <w:r w:rsidRPr="000F48D3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53151191"/>
      <w:r w:rsidRPr="000F48D3">
        <w:rPr>
          <w:rFonts w:ascii="Times New Roman" w:hAnsi="Times New Roman" w:cs="Times New Roman"/>
          <w:bCs/>
          <w:sz w:val="24"/>
          <w:szCs w:val="24"/>
        </w:rPr>
        <w:t>doi:</w:t>
      </w:r>
      <w:proofErr w:type="gramStart"/>
      <w:r w:rsidRPr="000F48D3">
        <w:rPr>
          <w:rFonts w:ascii="Times New Roman" w:hAnsi="Times New Roman" w:cs="Times New Roman"/>
          <w:bCs/>
          <w:sz w:val="24"/>
          <w:szCs w:val="24"/>
        </w:rPr>
        <w:t>10.1186</w:t>
      </w:r>
      <w:proofErr w:type="gramEnd"/>
      <w:r w:rsidRPr="000F48D3">
        <w:rPr>
          <w:rFonts w:ascii="Times New Roman" w:hAnsi="Times New Roman" w:cs="Times New Roman"/>
          <w:bCs/>
          <w:sz w:val="24"/>
          <w:szCs w:val="24"/>
        </w:rPr>
        <w:t>/s13028-016-05252-1</w:t>
      </w:r>
      <w:bookmarkEnd w:id="1"/>
      <w:r w:rsidR="00127CA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048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CD72" w14:textId="77777777" w:rsidR="00AC3467" w:rsidRDefault="00AC3467" w:rsidP="00B650F8">
      <w:pPr>
        <w:spacing w:after="0" w:line="240" w:lineRule="auto"/>
      </w:pPr>
      <w:r>
        <w:separator/>
      </w:r>
    </w:p>
  </w:endnote>
  <w:endnote w:type="continuationSeparator" w:id="0">
    <w:p w14:paraId="6C82934A" w14:textId="77777777" w:rsidR="00AC3467" w:rsidRDefault="00AC3467" w:rsidP="00B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330573"/>
      <w:docPartObj>
        <w:docPartGallery w:val="Page Numbers (Bottom of Page)"/>
        <w:docPartUnique/>
      </w:docPartObj>
    </w:sdtPr>
    <w:sdtEndPr/>
    <w:sdtContent>
      <w:p w14:paraId="344E4AC7" w14:textId="5FADE8A1" w:rsidR="00431665" w:rsidRDefault="0043166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4BBA3" w14:textId="77777777" w:rsidR="00431665" w:rsidRDefault="004316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62D1" w14:textId="77777777" w:rsidR="00AC3467" w:rsidRDefault="00AC3467" w:rsidP="00B650F8">
      <w:pPr>
        <w:spacing w:after="0" w:line="240" w:lineRule="auto"/>
      </w:pPr>
      <w:r>
        <w:separator/>
      </w:r>
    </w:p>
  </w:footnote>
  <w:footnote w:type="continuationSeparator" w:id="0">
    <w:p w14:paraId="14095D4C" w14:textId="77777777" w:rsidR="00AC3467" w:rsidRDefault="00AC3467" w:rsidP="00B6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F8"/>
    <w:multiLevelType w:val="hybridMultilevel"/>
    <w:tmpl w:val="1B16A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6EE"/>
    <w:multiLevelType w:val="hybridMultilevel"/>
    <w:tmpl w:val="A1CA5EA6"/>
    <w:lvl w:ilvl="0" w:tplc="041D0011">
      <w:start w:val="3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25730"/>
    <w:multiLevelType w:val="hybridMultilevel"/>
    <w:tmpl w:val="9E0E0C4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2259"/>
    <w:multiLevelType w:val="hybridMultilevel"/>
    <w:tmpl w:val="2A30CC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199"/>
    <w:multiLevelType w:val="hybridMultilevel"/>
    <w:tmpl w:val="69149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09C2"/>
    <w:multiLevelType w:val="hybridMultilevel"/>
    <w:tmpl w:val="2BBE9A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0230"/>
    <w:multiLevelType w:val="hybridMultilevel"/>
    <w:tmpl w:val="2534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53"/>
    <w:rsid w:val="000148CC"/>
    <w:rsid w:val="000158EE"/>
    <w:rsid w:val="000168C6"/>
    <w:rsid w:val="00025958"/>
    <w:rsid w:val="0003089F"/>
    <w:rsid w:val="00034A76"/>
    <w:rsid w:val="00036539"/>
    <w:rsid w:val="00044816"/>
    <w:rsid w:val="0004578A"/>
    <w:rsid w:val="00055DA9"/>
    <w:rsid w:val="0005685C"/>
    <w:rsid w:val="00065ADD"/>
    <w:rsid w:val="00072B72"/>
    <w:rsid w:val="00075A14"/>
    <w:rsid w:val="00075F99"/>
    <w:rsid w:val="00082DA0"/>
    <w:rsid w:val="00090773"/>
    <w:rsid w:val="00097253"/>
    <w:rsid w:val="000A187A"/>
    <w:rsid w:val="000A496F"/>
    <w:rsid w:val="000A49CF"/>
    <w:rsid w:val="000A65D4"/>
    <w:rsid w:val="000A7C6B"/>
    <w:rsid w:val="000B67DD"/>
    <w:rsid w:val="000B7A8F"/>
    <w:rsid w:val="000C110C"/>
    <w:rsid w:val="000C1C1B"/>
    <w:rsid w:val="000C5AAA"/>
    <w:rsid w:val="000D3A03"/>
    <w:rsid w:val="000F01A7"/>
    <w:rsid w:val="000F4578"/>
    <w:rsid w:val="000F48D3"/>
    <w:rsid w:val="000F55DA"/>
    <w:rsid w:val="001048A4"/>
    <w:rsid w:val="00106844"/>
    <w:rsid w:val="001277B5"/>
    <w:rsid w:val="00127CAB"/>
    <w:rsid w:val="00132935"/>
    <w:rsid w:val="0014791F"/>
    <w:rsid w:val="00151B85"/>
    <w:rsid w:val="0015538E"/>
    <w:rsid w:val="0016037E"/>
    <w:rsid w:val="001625E7"/>
    <w:rsid w:val="00164E77"/>
    <w:rsid w:val="00165403"/>
    <w:rsid w:val="001654CC"/>
    <w:rsid w:val="00173BE2"/>
    <w:rsid w:val="00176C4C"/>
    <w:rsid w:val="00191CF4"/>
    <w:rsid w:val="001974C5"/>
    <w:rsid w:val="00197752"/>
    <w:rsid w:val="001A1B9A"/>
    <w:rsid w:val="001A3911"/>
    <w:rsid w:val="001B4325"/>
    <w:rsid w:val="001B609D"/>
    <w:rsid w:val="001C4E55"/>
    <w:rsid w:val="001C7324"/>
    <w:rsid w:val="001F648D"/>
    <w:rsid w:val="001F74BF"/>
    <w:rsid w:val="00205194"/>
    <w:rsid w:val="00223929"/>
    <w:rsid w:val="00230831"/>
    <w:rsid w:val="00241483"/>
    <w:rsid w:val="002454A8"/>
    <w:rsid w:val="00246F98"/>
    <w:rsid w:val="00250C32"/>
    <w:rsid w:val="00250F6C"/>
    <w:rsid w:val="00264201"/>
    <w:rsid w:val="00271A79"/>
    <w:rsid w:val="00272021"/>
    <w:rsid w:val="00274031"/>
    <w:rsid w:val="00281C89"/>
    <w:rsid w:val="00282025"/>
    <w:rsid w:val="00285A00"/>
    <w:rsid w:val="002913CC"/>
    <w:rsid w:val="00292209"/>
    <w:rsid w:val="002A6A30"/>
    <w:rsid w:val="002A74FD"/>
    <w:rsid w:val="002A7702"/>
    <w:rsid w:val="002B4A6F"/>
    <w:rsid w:val="002D0FE8"/>
    <w:rsid w:val="002D542E"/>
    <w:rsid w:val="002E09B0"/>
    <w:rsid w:val="002E2099"/>
    <w:rsid w:val="00302FCE"/>
    <w:rsid w:val="003128BB"/>
    <w:rsid w:val="00321461"/>
    <w:rsid w:val="00321B4B"/>
    <w:rsid w:val="0032670A"/>
    <w:rsid w:val="00331E6D"/>
    <w:rsid w:val="00351938"/>
    <w:rsid w:val="00352BE1"/>
    <w:rsid w:val="00353FC0"/>
    <w:rsid w:val="00362C11"/>
    <w:rsid w:val="00366D95"/>
    <w:rsid w:val="00366ED2"/>
    <w:rsid w:val="00371FBF"/>
    <w:rsid w:val="003950C1"/>
    <w:rsid w:val="003A66A5"/>
    <w:rsid w:val="003A686A"/>
    <w:rsid w:val="003B38AF"/>
    <w:rsid w:val="003B39CB"/>
    <w:rsid w:val="003C2C08"/>
    <w:rsid w:val="003D1960"/>
    <w:rsid w:val="003D1E9F"/>
    <w:rsid w:val="003E2C85"/>
    <w:rsid w:val="003E4B75"/>
    <w:rsid w:val="003E78CC"/>
    <w:rsid w:val="003F5FAA"/>
    <w:rsid w:val="003F62C1"/>
    <w:rsid w:val="00423238"/>
    <w:rsid w:val="00431665"/>
    <w:rsid w:val="00440249"/>
    <w:rsid w:val="00446189"/>
    <w:rsid w:val="0045034C"/>
    <w:rsid w:val="004530E0"/>
    <w:rsid w:val="00464E67"/>
    <w:rsid w:val="00465695"/>
    <w:rsid w:val="004757C1"/>
    <w:rsid w:val="00483E53"/>
    <w:rsid w:val="004866A8"/>
    <w:rsid w:val="004878AC"/>
    <w:rsid w:val="0049045C"/>
    <w:rsid w:val="00491812"/>
    <w:rsid w:val="00493716"/>
    <w:rsid w:val="004A2A7E"/>
    <w:rsid w:val="004A3A2C"/>
    <w:rsid w:val="004B33AB"/>
    <w:rsid w:val="004C25BB"/>
    <w:rsid w:val="004C70E2"/>
    <w:rsid w:val="004E0228"/>
    <w:rsid w:val="004E2AE2"/>
    <w:rsid w:val="004E3F5C"/>
    <w:rsid w:val="004F077E"/>
    <w:rsid w:val="004F7371"/>
    <w:rsid w:val="0050649A"/>
    <w:rsid w:val="00510B0B"/>
    <w:rsid w:val="00520004"/>
    <w:rsid w:val="00525F04"/>
    <w:rsid w:val="00530D60"/>
    <w:rsid w:val="0054046E"/>
    <w:rsid w:val="005440A0"/>
    <w:rsid w:val="005460B5"/>
    <w:rsid w:val="0054627E"/>
    <w:rsid w:val="00557F48"/>
    <w:rsid w:val="005755B6"/>
    <w:rsid w:val="00576262"/>
    <w:rsid w:val="00581BFB"/>
    <w:rsid w:val="0058454B"/>
    <w:rsid w:val="00585C6D"/>
    <w:rsid w:val="005A162E"/>
    <w:rsid w:val="005A2777"/>
    <w:rsid w:val="005B4F02"/>
    <w:rsid w:val="005C12FC"/>
    <w:rsid w:val="005C4DA3"/>
    <w:rsid w:val="005C6FE4"/>
    <w:rsid w:val="005C729E"/>
    <w:rsid w:val="005C77BC"/>
    <w:rsid w:val="005E4C41"/>
    <w:rsid w:val="005E5B7B"/>
    <w:rsid w:val="005E7AA6"/>
    <w:rsid w:val="00602811"/>
    <w:rsid w:val="00606DE2"/>
    <w:rsid w:val="00612A76"/>
    <w:rsid w:val="0061646F"/>
    <w:rsid w:val="00617BCC"/>
    <w:rsid w:val="0062182A"/>
    <w:rsid w:val="00643609"/>
    <w:rsid w:val="006458BA"/>
    <w:rsid w:val="00645B28"/>
    <w:rsid w:val="00647AAD"/>
    <w:rsid w:val="00653447"/>
    <w:rsid w:val="00655ABF"/>
    <w:rsid w:val="00656E6C"/>
    <w:rsid w:val="00662F38"/>
    <w:rsid w:val="006632DA"/>
    <w:rsid w:val="00666985"/>
    <w:rsid w:val="0067164D"/>
    <w:rsid w:val="00671CC3"/>
    <w:rsid w:val="00674310"/>
    <w:rsid w:val="00677D86"/>
    <w:rsid w:val="00680A5F"/>
    <w:rsid w:val="006B17AD"/>
    <w:rsid w:val="006B46E8"/>
    <w:rsid w:val="006B7650"/>
    <w:rsid w:val="006C08F9"/>
    <w:rsid w:val="006C737A"/>
    <w:rsid w:val="006D534F"/>
    <w:rsid w:val="006F57E5"/>
    <w:rsid w:val="006F7BD8"/>
    <w:rsid w:val="00701D99"/>
    <w:rsid w:val="00707978"/>
    <w:rsid w:val="00711091"/>
    <w:rsid w:val="00712CCC"/>
    <w:rsid w:val="00713732"/>
    <w:rsid w:val="007157AD"/>
    <w:rsid w:val="007206DF"/>
    <w:rsid w:val="00725E88"/>
    <w:rsid w:val="0072743E"/>
    <w:rsid w:val="00733734"/>
    <w:rsid w:val="00733C57"/>
    <w:rsid w:val="00745D21"/>
    <w:rsid w:val="00747278"/>
    <w:rsid w:val="00747B26"/>
    <w:rsid w:val="00747BA8"/>
    <w:rsid w:val="00760F59"/>
    <w:rsid w:val="007657E5"/>
    <w:rsid w:val="00765CD8"/>
    <w:rsid w:val="00770F3C"/>
    <w:rsid w:val="0077132E"/>
    <w:rsid w:val="0077567F"/>
    <w:rsid w:val="00782000"/>
    <w:rsid w:val="007905BF"/>
    <w:rsid w:val="00791BB5"/>
    <w:rsid w:val="00791EDD"/>
    <w:rsid w:val="0079280D"/>
    <w:rsid w:val="00792A3D"/>
    <w:rsid w:val="007A32C0"/>
    <w:rsid w:val="007A4776"/>
    <w:rsid w:val="007D56AE"/>
    <w:rsid w:val="007E190D"/>
    <w:rsid w:val="007E227E"/>
    <w:rsid w:val="007F21E5"/>
    <w:rsid w:val="007F4CA4"/>
    <w:rsid w:val="007F5532"/>
    <w:rsid w:val="007F753F"/>
    <w:rsid w:val="00811B6C"/>
    <w:rsid w:val="00815B80"/>
    <w:rsid w:val="00817F67"/>
    <w:rsid w:val="008226B6"/>
    <w:rsid w:val="00834B3F"/>
    <w:rsid w:val="00844DB9"/>
    <w:rsid w:val="0085365A"/>
    <w:rsid w:val="008551AC"/>
    <w:rsid w:val="00857F87"/>
    <w:rsid w:val="00866E7B"/>
    <w:rsid w:val="0087071E"/>
    <w:rsid w:val="0087218C"/>
    <w:rsid w:val="00875C80"/>
    <w:rsid w:val="00881B0E"/>
    <w:rsid w:val="008821FC"/>
    <w:rsid w:val="00897A38"/>
    <w:rsid w:val="008A541B"/>
    <w:rsid w:val="008C0EAD"/>
    <w:rsid w:val="008D7CD9"/>
    <w:rsid w:val="008E1ABA"/>
    <w:rsid w:val="008F00F1"/>
    <w:rsid w:val="009002D5"/>
    <w:rsid w:val="00910E92"/>
    <w:rsid w:val="00925788"/>
    <w:rsid w:val="0092741B"/>
    <w:rsid w:val="009362E7"/>
    <w:rsid w:val="00941D90"/>
    <w:rsid w:val="0094264B"/>
    <w:rsid w:val="0094725E"/>
    <w:rsid w:val="00952A0C"/>
    <w:rsid w:val="00954A53"/>
    <w:rsid w:val="00963EA3"/>
    <w:rsid w:val="00975B54"/>
    <w:rsid w:val="00982F13"/>
    <w:rsid w:val="009847DA"/>
    <w:rsid w:val="00995F6A"/>
    <w:rsid w:val="009A4D47"/>
    <w:rsid w:val="009C7601"/>
    <w:rsid w:val="009D17A8"/>
    <w:rsid w:val="009E22CF"/>
    <w:rsid w:val="009F4EAC"/>
    <w:rsid w:val="00A01BEA"/>
    <w:rsid w:val="00A055F1"/>
    <w:rsid w:val="00A125CB"/>
    <w:rsid w:val="00A13F87"/>
    <w:rsid w:val="00A21F98"/>
    <w:rsid w:val="00A25236"/>
    <w:rsid w:val="00A35417"/>
    <w:rsid w:val="00A43CC2"/>
    <w:rsid w:val="00A452E1"/>
    <w:rsid w:val="00A636BF"/>
    <w:rsid w:val="00A64B2E"/>
    <w:rsid w:val="00A65FE9"/>
    <w:rsid w:val="00A74C4F"/>
    <w:rsid w:val="00A8444E"/>
    <w:rsid w:val="00A8519B"/>
    <w:rsid w:val="00A95BDE"/>
    <w:rsid w:val="00AA09A4"/>
    <w:rsid w:val="00AA354F"/>
    <w:rsid w:val="00AC162D"/>
    <w:rsid w:val="00AC3467"/>
    <w:rsid w:val="00AC710F"/>
    <w:rsid w:val="00AD691F"/>
    <w:rsid w:val="00AF09B7"/>
    <w:rsid w:val="00AF50A3"/>
    <w:rsid w:val="00AF7E8A"/>
    <w:rsid w:val="00B13706"/>
    <w:rsid w:val="00B31D06"/>
    <w:rsid w:val="00B37E6E"/>
    <w:rsid w:val="00B57F58"/>
    <w:rsid w:val="00B6090A"/>
    <w:rsid w:val="00B63CD8"/>
    <w:rsid w:val="00B64D67"/>
    <w:rsid w:val="00B650F8"/>
    <w:rsid w:val="00B72F31"/>
    <w:rsid w:val="00B80DC6"/>
    <w:rsid w:val="00B82C17"/>
    <w:rsid w:val="00B901FD"/>
    <w:rsid w:val="00B91014"/>
    <w:rsid w:val="00B93921"/>
    <w:rsid w:val="00B96500"/>
    <w:rsid w:val="00B9734F"/>
    <w:rsid w:val="00BB3CC2"/>
    <w:rsid w:val="00BC7006"/>
    <w:rsid w:val="00C04083"/>
    <w:rsid w:val="00C120C8"/>
    <w:rsid w:val="00C154B4"/>
    <w:rsid w:val="00C16832"/>
    <w:rsid w:val="00C20E3E"/>
    <w:rsid w:val="00C25546"/>
    <w:rsid w:val="00C3061B"/>
    <w:rsid w:val="00C368BD"/>
    <w:rsid w:val="00C53C67"/>
    <w:rsid w:val="00C76E22"/>
    <w:rsid w:val="00C9447B"/>
    <w:rsid w:val="00CA73BD"/>
    <w:rsid w:val="00CB0228"/>
    <w:rsid w:val="00CB1D19"/>
    <w:rsid w:val="00CC6E35"/>
    <w:rsid w:val="00CD2890"/>
    <w:rsid w:val="00CE4423"/>
    <w:rsid w:val="00CF26AE"/>
    <w:rsid w:val="00CF5DE6"/>
    <w:rsid w:val="00D01FA2"/>
    <w:rsid w:val="00D0695A"/>
    <w:rsid w:val="00D07E83"/>
    <w:rsid w:val="00D11BA0"/>
    <w:rsid w:val="00D148B6"/>
    <w:rsid w:val="00D16A78"/>
    <w:rsid w:val="00D22125"/>
    <w:rsid w:val="00D2404F"/>
    <w:rsid w:val="00D332F6"/>
    <w:rsid w:val="00D56905"/>
    <w:rsid w:val="00D643F3"/>
    <w:rsid w:val="00D64702"/>
    <w:rsid w:val="00D726AD"/>
    <w:rsid w:val="00D73CCA"/>
    <w:rsid w:val="00D741A4"/>
    <w:rsid w:val="00D748A8"/>
    <w:rsid w:val="00D74AC7"/>
    <w:rsid w:val="00D92FDE"/>
    <w:rsid w:val="00DC67C4"/>
    <w:rsid w:val="00DC7B63"/>
    <w:rsid w:val="00DD1518"/>
    <w:rsid w:val="00DE34E8"/>
    <w:rsid w:val="00E108BE"/>
    <w:rsid w:val="00E14321"/>
    <w:rsid w:val="00E521B7"/>
    <w:rsid w:val="00E57994"/>
    <w:rsid w:val="00E609DD"/>
    <w:rsid w:val="00E6391A"/>
    <w:rsid w:val="00E63EAE"/>
    <w:rsid w:val="00E672EE"/>
    <w:rsid w:val="00E7123D"/>
    <w:rsid w:val="00E76237"/>
    <w:rsid w:val="00E8095A"/>
    <w:rsid w:val="00E827FB"/>
    <w:rsid w:val="00E8599F"/>
    <w:rsid w:val="00E93FE6"/>
    <w:rsid w:val="00EA0A1A"/>
    <w:rsid w:val="00EA48B2"/>
    <w:rsid w:val="00EA5AF0"/>
    <w:rsid w:val="00EB3F75"/>
    <w:rsid w:val="00EB772A"/>
    <w:rsid w:val="00EC10C0"/>
    <w:rsid w:val="00EC6637"/>
    <w:rsid w:val="00ED2D75"/>
    <w:rsid w:val="00EE36BC"/>
    <w:rsid w:val="00EF2CA5"/>
    <w:rsid w:val="00EF3F61"/>
    <w:rsid w:val="00EF7378"/>
    <w:rsid w:val="00F010FF"/>
    <w:rsid w:val="00F14212"/>
    <w:rsid w:val="00F22761"/>
    <w:rsid w:val="00F247AF"/>
    <w:rsid w:val="00F258C2"/>
    <w:rsid w:val="00F26C00"/>
    <w:rsid w:val="00F3009F"/>
    <w:rsid w:val="00F41508"/>
    <w:rsid w:val="00F41BF6"/>
    <w:rsid w:val="00F44A1D"/>
    <w:rsid w:val="00F44B79"/>
    <w:rsid w:val="00F60079"/>
    <w:rsid w:val="00F6040A"/>
    <w:rsid w:val="00F73267"/>
    <w:rsid w:val="00F82C73"/>
    <w:rsid w:val="00F83C28"/>
    <w:rsid w:val="00F97CA8"/>
    <w:rsid w:val="00F97E83"/>
    <w:rsid w:val="00FA5C69"/>
    <w:rsid w:val="00FA6977"/>
    <w:rsid w:val="00FC0188"/>
    <w:rsid w:val="00FC24AF"/>
    <w:rsid w:val="00FC5DDE"/>
    <w:rsid w:val="00FE1F19"/>
    <w:rsid w:val="00FE43BF"/>
    <w:rsid w:val="00FE7FAF"/>
    <w:rsid w:val="00FF3362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3E6"/>
  <w15:chartTrackingRefBased/>
  <w15:docId w15:val="{62B82597-7392-44FD-B574-FFE07A60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">
    <w:name w:val="Rubrik_2"/>
    <w:next w:val="Normal"/>
    <w:qFormat/>
    <w:rsid w:val="00954A53"/>
    <w:pPr>
      <w:spacing w:after="120" w:line="240" w:lineRule="auto"/>
    </w:pPr>
    <w:rPr>
      <w:rFonts w:ascii="Verdana" w:eastAsia="MS Mincho" w:hAnsi="Verdana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D7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15B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5B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5B8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5B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5B8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B8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93FE6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E93FE6"/>
    <w:rPr>
      <w:color w:val="0000FF"/>
      <w:u w:val="single"/>
    </w:rPr>
  </w:style>
  <w:style w:type="character" w:customStyle="1" w:styleId="docsum-authors">
    <w:name w:val="docsum-authors"/>
    <w:basedOn w:val="Standardstycketeckensnitt"/>
    <w:rsid w:val="00875C80"/>
  </w:style>
  <w:style w:type="character" w:customStyle="1" w:styleId="docsum-journal-citation">
    <w:name w:val="docsum-journal-citation"/>
    <w:basedOn w:val="Standardstycketeckensnitt"/>
    <w:rsid w:val="00875C80"/>
  </w:style>
  <w:style w:type="character" w:customStyle="1" w:styleId="citation-part">
    <w:name w:val="citation-part"/>
    <w:basedOn w:val="Standardstycketeckensnitt"/>
    <w:rsid w:val="00875C80"/>
  </w:style>
  <w:style w:type="character" w:customStyle="1" w:styleId="docsum-pmid">
    <w:name w:val="docsum-pmid"/>
    <w:basedOn w:val="Standardstycketeckensnitt"/>
    <w:rsid w:val="00875C80"/>
  </w:style>
  <w:style w:type="paragraph" w:styleId="Sidhuvud">
    <w:name w:val="header"/>
    <w:basedOn w:val="Normal"/>
    <w:link w:val="SidhuvudChar"/>
    <w:uiPriority w:val="99"/>
    <w:unhideWhenUsed/>
    <w:rsid w:val="00B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50F8"/>
  </w:style>
  <w:style w:type="paragraph" w:styleId="Sidfot">
    <w:name w:val="footer"/>
    <w:basedOn w:val="Normal"/>
    <w:link w:val="SidfotChar"/>
    <w:uiPriority w:val="99"/>
    <w:unhideWhenUsed/>
    <w:rsid w:val="00B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https://pubmed.ncbi.nlm.nih.gov/964645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122438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okal%20disk\Ehlorsson\228%20statisti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okal%20disk\Ehlorsson\228%20statisti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okal%20disk\Ehlorsson\228%20statisti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okal%20disk\Ehlorsson\228%20statisti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Trend kod 75/76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Suggor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'trend suggor och ungsuggor'!$M$2:$M$15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'trend suggor och ungsuggor'!$D$2:$D$15</c:f>
              <c:numCache>
                <c:formatCode>General</c:formatCode>
                <c:ptCount val="14"/>
                <c:pt idx="0">
                  <c:v>7.4</c:v>
                </c:pt>
                <c:pt idx="1">
                  <c:v>7.2</c:v>
                </c:pt>
                <c:pt idx="2">
                  <c:v>7.4</c:v>
                </c:pt>
                <c:pt idx="3">
                  <c:v>5.8</c:v>
                </c:pt>
                <c:pt idx="4">
                  <c:v>5.6</c:v>
                </c:pt>
                <c:pt idx="5">
                  <c:v>8.3000000000000007</c:v>
                </c:pt>
                <c:pt idx="6">
                  <c:v>9.4</c:v>
                </c:pt>
                <c:pt idx="7">
                  <c:v>10.7</c:v>
                </c:pt>
                <c:pt idx="8">
                  <c:v>11.7</c:v>
                </c:pt>
                <c:pt idx="9">
                  <c:v>14.2</c:v>
                </c:pt>
                <c:pt idx="10">
                  <c:v>14.8</c:v>
                </c:pt>
                <c:pt idx="11">
                  <c:v>15.7</c:v>
                </c:pt>
                <c:pt idx="12">
                  <c:v>15.9</c:v>
                </c:pt>
                <c:pt idx="13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8-4234-9FD5-B6B81E45C007}"/>
            </c:ext>
          </c:extLst>
        </c:ser>
        <c:ser>
          <c:idx val="1"/>
          <c:order val="1"/>
          <c:tx>
            <c:v>Ungsuggor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'trend suggor och ungsuggor'!$M$2:$M$15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'trend suggor och ungsuggor'!$J$2:$J$15</c:f>
              <c:numCache>
                <c:formatCode>General</c:formatCode>
                <c:ptCount val="14"/>
                <c:pt idx="0">
                  <c:v>6.3</c:v>
                </c:pt>
                <c:pt idx="1">
                  <c:v>5.7</c:v>
                </c:pt>
                <c:pt idx="2">
                  <c:v>7.3</c:v>
                </c:pt>
                <c:pt idx="3">
                  <c:v>6.7</c:v>
                </c:pt>
                <c:pt idx="4">
                  <c:v>6.4</c:v>
                </c:pt>
                <c:pt idx="5">
                  <c:v>8.1</c:v>
                </c:pt>
                <c:pt idx="6">
                  <c:v>8.9</c:v>
                </c:pt>
                <c:pt idx="7">
                  <c:v>8.8000000000000007</c:v>
                </c:pt>
                <c:pt idx="8">
                  <c:v>9</c:v>
                </c:pt>
                <c:pt idx="9">
                  <c:v>10.6</c:v>
                </c:pt>
                <c:pt idx="10">
                  <c:v>13.6</c:v>
                </c:pt>
                <c:pt idx="11">
                  <c:v>14</c:v>
                </c:pt>
                <c:pt idx="12">
                  <c:v>14.8</c:v>
                </c:pt>
                <c:pt idx="13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8-4234-9FD5-B6B81E45C007}"/>
            </c:ext>
          </c:extLst>
        </c:ser>
        <c:ser>
          <c:idx val="2"/>
          <c:order val="2"/>
          <c:tx>
            <c:v>Slaktgrisar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'trend suggor och ungsuggor'!$M$2:$M$15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'trend suggor och ungsuggor'!$O$2:$O$15</c:f>
              <c:numCache>
                <c:formatCode>General</c:formatCode>
                <c:ptCount val="14"/>
                <c:pt idx="0">
                  <c:v>9.8000000000000007</c:v>
                </c:pt>
                <c:pt idx="1">
                  <c:v>9.8000000000000007</c:v>
                </c:pt>
                <c:pt idx="2">
                  <c:v>9.9</c:v>
                </c:pt>
                <c:pt idx="3">
                  <c:v>9.6999999999999993</c:v>
                </c:pt>
                <c:pt idx="4">
                  <c:v>10.6</c:v>
                </c:pt>
                <c:pt idx="5">
                  <c:v>11.1</c:v>
                </c:pt>
                <c:pt idx="6">
                  <c:v>12</c:v>
                </c:pt>
                <c:pt idx="7">
                  <c:v>12.6</c:v>
                </c:pt>
                <c:pt idx="8">
                  <c:v>12.3</c:v>
                </c:pt>
                <c:pt idx="9">
                  <c:v>13.5</c:v>
                </c:pt>
                <c:pt idx="10">
                  <c:v>14</c:v>
                </c:pt>
                <c:pt idx="11">
                  <c:v>13.2</c:v>
                </c:pt>
                <c:pt idx="12">
                  <c:v>14</c:v>
                </c:pt>
                <c:pt idx="13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8-4234-9FD5-B6B81E45C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67176656"/>
        <c:axId val="1739254896"/>
      </c:barChart>
      <c:catAx>
        <c:axId val="196717665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739254896"/>
        <c:crosses val="autoZero"/>
        <c:auto val="1"/>
        <c:lblAlgn val="ctr"/>
        <c:lblOffset val="100"/>
        <c:noMultiLvlLbl val="0"/>
      </c:catAx>
      <c:valAx>
        <c:axId val="173925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v-SE"/>
                  <a:t>Prevalens</a:t>
                </a:r>
                <a:r>
                  <a:rPr lang="sv-SE" baseline="0"/>
                  <a:t> %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71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Besättning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'Jan '!$I$26</c:f>
              <c:strCache>
                <c:ptCount val="1"/>
                <c:pt idx="0">
                  <c:v>gyltor, 8 mån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'Jan '!$H$27:$H$30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'Jan '!$I$27:$I$30</c:f>
              <c:numCache>
                <c:formatCode>General</c:formatCode>
                <c:ptCount val="4"/>
                <c:pt idx="0">
                  <c:v>0.25</c:v>
                </c:pt>
                <c:pt idx="1">
                  <c:v>0.26</c:v>
                </c:pt>
                <c:pt idx="2">
                  <c:v>1.17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F-4050-B27A-CF4CDC50DDE4}"/>
            </c:ext>
          </c:extLst>
        </c:ser>
        <c:ser>
          <c:idx val="1"/>
          <c:order val="1"/>
          <c:tx>
            <c:strRef>
              <c:f>'Jan '!$J$26</c:f>
              <c:strCache>
                <c:ptCount val="1"/>
                <c:pt idx="0">
                  <c:v>Avvanda 13 mån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'Jan '!$H$27:$H$30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'Jan '!$J$27:$J$30</c:f>
              <c:numCache>
                <c:formatCode>General</c:formatCode>
                <c:ptCount val="4"/>
                <c:pt idx="0">
                  <c:v>0.26</c:v>
                </c:pt>
                <c:pt idx="1">
                  <c:v>0.27</c:v>
                </c:pt>
                <c:pt idx="2">
                  <c:v>0.94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F-4050-B27A-CF4CDC50D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0885328"/>
        <c:axId val="640894184"/>
      </c:barChart>
      <c:catAx>
        <c:axId val="64088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40894184"/>
        <c:crosses val="autoZero"/>
        <c:auto val="1"/>
        <c:lblAlgn val="ctr"/>
        <c:lblOffset val="100"/>
        <c:noMultiLvlLbl val="0"/>
      </c:catAx>
      <c:valAx>
        <c:axId val="64089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4088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Besättning 3,</a:t>
            </a:r>
            <a:r>
              <a:rPr lang="sv-SE" baseline="0"/>
              <a:t> </a:t>
            </a:r>
            <a:r>
              <a:rPr lang="sv-SE"/>
              <a:t>5mån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Rosenlid!$F$12</c:f>
              <c:strCache>
                <c:ptCount val="1"/>
                <c:pt idx="0">
                  <c:v>5mån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Rosenlid!$E$13:$E$16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Rosenlid!$F$13:$F$16</c:f>
              <c:numCache>
                <c:formatCode>General</c:formatCode>
                <c:ptCount val="4"/>
                <c:pt idx="0">
                  <c:v>0.48</c:v>
                </c:pt>
                <c:pt idx="1">
                  <c:v>0.27</c:v>
                </c:pt>
                <c:pt idx="2">
                  <c:v>1.32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F-4D3B-8DB5-60E993F7D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694992"/>
        <c:axId val="314694336"/>
      </c:barChart>
      <c:catAx>
        <c:axId val="31469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4694336"/>
        <c:crosses val="autoZero"/>
        <c:auto val="1"/>
        <c:lblAlgn val="ctr"/>
        <c:lblOffset val="100"/>
        <c:noMultiLvlLbl val="0"/>
      </c:catAx>
      <c:valAx>
        <c:axId val="31469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469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Besättning 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Wittskövle!$H$10</c:f>
              <c:strCache>
                <c:ptCount val="1"/>
                <c:pt idx="0">
                  <c:v>Karantän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Wittskövle!$G$11:$G$14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Wittskövle!$H$11:$H$14</c:f>
              <c:numCache>
                <c:formatCode>General</c:formatCode>
                <c:ptCount val="4"/>
                <c:pt idx="0">
                  <c:v>0.35</c:v>
                </c:pt>
                <c:pt idx="1">
                  <c:v>0.36</c:v>
                </c:pt>
                <c:pt idx="2">
                  <c:v>1.62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F-41A3-B204-BA02D526A4A0}"/>
            </c:ext>
          </c:extLst>
        </c:ser>
        <c:ser>
          <c:idx val="1"/>
          <c:order val="1"/>
          <c:tx>
            <c:strRef>
              <c:f>Wittskövle!$I$10</c:f>
              <c:strCache>
                <c:ptCount val="1"/>
                <c:pt idx="0">
                  <c:v>DR-kontroll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Wittskövle!$G$11:$G$14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Wittskövle!$I$11:$I$14</c:f>
              <c:numCache>
                <c:formatCode>General</c:formatCode>
                <c:ptCount val="4"/>
                <c:pt idx="0">
                  <c:v>0.35</c:v>
                </c:pt>
                <c:pt idx="1">
                  <c:v>0.3</c:v>
                </c:pt>
                <c:pt idx="2">
                  <c:v>1.04</c:v>
                </c:pt>
                <c:pt idx="3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F-41A3-B204-BA02D526A4A0}"/>
            </c:ext>
          </c:extLst>
        </c:ser>
        <c:ser>
          <c:idx val="2"/>
          <c:order val="2"/>
          <c:tx>
            <c:strRef>
              <c:f>Wittskövle!$J$10</c:f>
              <c:strCache>
                <c:ptCount val="1"/>
                <c:pt idx="0">
                  <c:v>Ante partus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Wittskövle!$G$11:$G$14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Wittskövle!$J$11:$J$14</c:f>
              <c:numCache>
                <c:formatCode>General</c:formatCode>
                <c:ptCount val="4"/>
                <c:pt idx="0">
                  <c:v>0.57999999999999996</c:v>
                </c:pt>
                <c:pt idx="1">
                  <c:v>0.88</c:v>
                </c:pt>
                <c:pt idx="2">
                  <c:v>1.51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F-41A3-B204-BA02D526A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5798952"/>
        <c:axId val="625804528"/>
      </c:barChart>
      <c:catAx>
        <c:axId val="62579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25804528"/>
        <c:crosses val="autoZero"/>
        <c:auto val="1"/>
        <c:lblAlgn val="ctr"/>
        <c:lblOffset val="100"/>
        <c:noMultiLvlLbl val="0"/>
      </c:catAx>
      <c:valAx>
        <c:axId val="62580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62579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Besättning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Bärnagården!$H$19</c:f>
              <c:strCache>
                <c:ptCount val="1"/>
                <c:pt idx="0">
                  <c:v>Karantän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Bärnagården!$G$20:$G$23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Bärnagården!$H$20:$H$23</c:f>
              <c:numCache>
                <c:formatCode>General</c:formatCode>
                <c:ptCount val="4"/>
                <c:pt idx="0">
                  <c:v>1.59</c:v>
                </c:pt>
                <c:pt idx="1">
                  <c:v>0.38</c:v>
                </c:pt>
                <c:pt idx="2">
                  <c:v>0.89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6-4BAF-B7FE-9D717F627CEE}"/>
            </c:ext>
          </c:extLst>
        </c:ser>
        <c:ser>
          <c:idx val="1"/>
          <c:order val="1"/>
          <c:tx>
            <c:strRef>
              <c:f>Bärnagården!$I$19</c:f>
              <c:strCache>
                <c:ptCount val="1"/>
                <c:pt idx="0">
                  <c:v>6v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Bärnagården!$G$20:$G$23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Bärnagården!$I$20:$I$23</c:f>
              <c:numCache>
                <c:formatCode>General</c:formatCode>
                <c:ptCount val="4"/>
                <c:pt idx="0">
                  <c:v>0.89</c:v>
                </c:pt>
                <c:pt idx="1">
                  <c:v>0.39</c:v>
                </c:pt>
                <c:pt idx="2">
                  <c:v>1.2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6-4BAF-B7FE-9D717F627CEE}"/>
            </c:ext>
          </c:extLst>
        </c:ser>
        <c:ser>
          <c:idx val="2"/>
          <c:order val="2"/>
          <c:tx>
            <c:strRef>
              <c:f>Bärnagården!$J$19</c:f>
              <c:strCache>
                <c:ptCount val="1"/>
                <c:pt idx="0">
                  <c:v>18v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Bärnagården!$G$20:$G$23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Bärnagården!$J$20:$J$23</c:f>
              <c:numCache>
                <c:formatCode>General</c:formatCode>
                <c:ptCount val="4"/>
                <c:pt idx="0">
                  <c:v>1.67</c:v>
                </c:pt>
                <c:pt idx="1">
                  <c:v>0.77</c:v>
                </c:pt>
                <c:pt idx="2">
                  <c:v>0.75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06-4BAF-B7FE-9D717F627CEE}"/>
            </c:ext>
          </c:extLst>
        </c:ser>
        <c:ser>
          <c:idx val="3"/>
          <c:order val="3"/>
          <c:tx>
            <c:strRef>
              <c:f>Bärnagården!$K$19</c:f>
              <c:strCache>
                <c:ptCount val="1"/>
                <c:pt idx="0">
                  <c:v>22v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Bärnagården!$G$20:$G$23</c:f>
              <c:strCache>
                <c:ptCount val="4"/>
                <c:pt idx="0">
                  <c:v>App2</c:v>
                </c:pt>
                <c:pt idx="1">
                  <c:v>App3</c:v>
                </c:pt>
                <c:pt idx="2">
                  <c:v>Mhyo</c:v>
                </c:pt>
                <c:pt idx="3">
                  <c:v>Past</c:v>
                </c:pt>
              </c:strCache>
            </c:strRef>
          </c:cat>
          <c:val>
            <c:numRef>
              <c:f>Bärnagården!$K$20:$K$23</c:f>
              <c:numCache>
                <c:formatCode>General</c:formatCode>
                <c:ptCount val="4"/>
                <c:pt idx="0">
                  <c:v>0.83</c:v>
                </c:pt>
                <c:pt idx="1">
                  <c:v>0.66</c:v>
                </c:pt>
                <c:pt idx="2">
                  <c:v>1</c:v>
                </c:pt>
                <c:pt idx="3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06-4BAF-B7FE-9D717F627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930984"/>
        <c:axId val="409934264"/>
      </c:barChart>
      <c:catAx>
        <c:axId val="40993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09934264"/>
        <c:crosses val="autoZero"/>
        <c:auto val="1"/>
        <c:lblAlgn val="ctr"/>
        <c:lblOffset val="100"/>
        <c:noMultiLvlLbl val="0"/>
      </c:catAx>
      <c:valAx>
        <c:axId val="40993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0993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2BFD9378DBB49933C46749FC2B1ED" ma:contentTypeVersion="13" ma:contentTypeDescription="Skapa ett nytt dokument." ma:contentTypeScope="" ma:versionID="345eccefd01c8b012b8acfa1f5d8cd53">
  <xsd:schema xmlns:xsd="http://www.w3.org/2001/XMLSchema" xmlns:xs="http://www.w3.org/2001/XMLSchema" xmlns:p="http://schemas.microsoft.com/office/2006/metadata/properties" xmlns:ns3="bfea5e44-638e-4c2e-b489-800f84d8e3a9" xmlns:ns4="988ff1db-171c-4449-bfb1-583391618192" targetNamespace="http://schemas.microsoft.com/office/2006/metadata/properties" ma:root="true" ma:fieldsID="16b7c4ce6a57b8c0465d89513bcef5c7" ns3:_="" ns4:_="">
    <xsd:import namespace="bfea5e44-638e-4c2e-b489-800f84d8e3a9"/>
    <xsd:import namespace="988ff1db-171c-4449-bfb1-583391618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5e44-638e-4c2e-b489-800f84d8e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ff1db-171c-4449-bfb1-58339161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54E8-61B5-41AE-B04F-311F6F9E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5e44-638e-4c2e-b489-800f84d8e3a9"/>
    <ds:schemaRef ds:uri="988ff1db-171c-4449-bfb1-58339161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0A0E8-DDA7-4F2B-AF7D-479FDC50C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B4973-2F19-45F0-A766-ECA05E051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0C6AD-A208-438A-8C0A-2E0A1DC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3541</Words>
  <Characters>18626</Characters>
  <Application>Microsoft Office Word</Application>
  <DocSecurity>0</DocSecurity>
  <Lines>503</Lines>
  <Paragraphs>312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Ehlorsson</dc:creator>
  <cp:keywords/>
  <dc:description/>
  <cp:lastModifiedBy>Sara Hammarberg</cp:lastModifiedBy>
  <cp:revision>2</cp:revision>
  <cp:lastPrinted>2020-09-21T14:58:00Z</cp:lastPrinted>
  <dcterms:created xsi:type="dcterms:W3CDTF">2021-02-16T19:16:00Z</dcterms:created>
  <dcterms:modified xsi:type="dcterms:W3CDTF">2021-02-16T19:16:00Z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0x01010037D2BFD9378DBB49933C46749FC2B1ED</vt:lpwstr>
  </property>
</Properties>
</file>